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C7" w:rsidRPr="00374C6A" w:rsidRDefault="00EE57C7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CE374A">
        <w:rPr>
          <w:noProof/>
          <w:color w:val="000000" w:themeColor="text1"/>
          <w:sz w:val="28"/>
          <w:szCs w:val="28"/>
          <w:lang w:bidi="ar-SA"/>
        </w:rPr>
        <w:t xml:space="preserve">                                                                               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>УТВЕРЖДЕНО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решением Совета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441474" w:rsidRPr="00374C6A" w:rsidRDefault="00E748B8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 xml:space="preserve">Региональной </w:t>
      </w:r>
      <w:r w:rsidR="00441474" w:rsidRPr="00374C6A">
        <w:rPr>
          <w:noProof/>
          <w:color w:val="000000" w:themeColor="text1"/>
          <w:sz w:val="28"/>
          <w:szCs w:val="28"/>
          <w:lang w:bidi="ar-SA"/>
        </w:rPr>
        <w:t xml:space="preserve">общественной организации </w:t>
      </w:r>
    </w:p>
    <w:p w:rsidR="00441474" w:rsidRPr="00374C6A" w:rsidRDefault="00441474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 w:rsidRPr="00374C6A">
        <w:rPr>
          <w:noProof/>
          <w:color w:val="000000" w:themeColor="text1"/>
          <w:sz w:val="28"/>
          <w:szCs w:val="28"/>
          <w:lang w:bidi="ar-SA"/>
        </w:rPr>
        <w:t>«</w:t>
      </w:r>
      <w:r w:rsidR="00E748B8" w:rsidRPr="00374C6A">
        <w:rPr>
          <w:noProof/>
          <w:color w:val="000000" w:themeColor="text1"/>
          <w:sz w:val="28"/>
          <w:szCs w:val="28"/>
          <w:lang w:bidi="ar-SA"/>
        </w:rPr>
        <w:t>Спортивная федерация шахмат Ярославской области»</w:t>
      </w:r>
      <w:r w:rsidRPr="00374C6A">
        <w:rPr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27AB8" w:rsidRPr="00CE374A" w:rsidRDefault="00D33027" w:rsidP="00CE374A">
      <w:pPr>
        <w:pStyle w:val="a3"/>
        <w:spacing w:line="276" w:lineRule="auto"/>
        <w:ind w:left="101"/>
        <w:jc w:val="right"/>
        <w:rPr>
          <w:noProof/>
          <w:color w:val="000000" w:themeColor="text1"/>
          <w:sz w:val="28"/>
          <w:szCs w:val="28"/>
          <w:lang w:bidi="ar-SA"/>
        </w:rPr>
      </w:pPr>
      <w:r>
        <w:rPr>
          <w:noProof/>
          <w:color w:val="000000" w:themeColor="text1"/>
          <w:sz w:val="28"/>
          <w:szCs w:val="28"/>
          <w:lang w:bidi="ar-SA"/>
        </w:rPr>
        <w:t>Протокол №03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 xml:space="preserve"> от </w:t>
      </w:r>
      <w:r>
        <w:rPr>
          <w:noProof/>
          <w:color w:val="000000" w:themeColor="text1"/>
          <w:sz w:val="28"/>
          <w:szCs w:val="28"/>
          <w:lang w:bidi="ar-SA"/>
        </w:rPr>
        <w:t>20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>.</w:t>
      </w:r>
      <w:r>
        <w:rPr>
          <w:noProof/>
          <w:color w:val="000000" w:themeColor="text1"/>
          <w:sz w:val="28"/>
          <w:szCs w:val="28"/>
          <w:lang w:bidi="ar-SA"/>
        </w:rPr>
        <w:t>1</w:t>
      </w:r>
      <w:r w:rsidR="00441474" w:rsidRPr="00667178">
        <w:rPr>
          <w:noProof/>
          <w:color w:val="000000" w:themeColor="text1"/>
          <w:sz w:val="28"/>
          <w:szCs w:val="28"/>
          <w:lang w:bidi="ar-SA"/>
        </w:rPr>
        <w:t>0.2020г.</w:t>
      </w:r>
    </w:p>
    <w:p w:rsidR="00441474" w:rsidRPr="00CE374A" w:rsidRDefault="00441474" w:rsidP="00CE374A">
      <w:pPr>
        <w:pStyle w:val="a3"/>
        <w:spacing w:line="276" w:lineRule="auto"/>
        <w:ind w:left="101"/>
        <w:jc w:val="right"/>
        <w:rPr>
          <w:b/>
          <w:noProof/>
          <w:sz w:val="28"/>
          <w:szCs w:val="28"/>
          <w:highlight w:val="yellow"/>
          <w:lang w:bidi="ar-SA"/>
        </w:rPr>
      </w:pPr>
    </w:p>
    <w:p w:rsidR="00D64F42" w:rsidRPr="00FE5CA5" w:rsidRDefault="00441474" w:rsidP="00FE5CA5">
      <w:pPr>
        <w:pStyle w:val="a3"/>
        <w:spacing w:line="276" w:lineRule="auto"/>
        <w:ind w:left="101"/>
        <w:jc w:val="both"/>
        <w:rPr>
          <w:b/>
          <w:noProof/>
          <w:color w:val="000000" w:themeColor="text1"/>
          <w:sz w:val="28"/>
          <w:szCs w:val="28"/>
          <w:lang w:bidi="ar-SA"/>
        </w:rPr>
      </w:pPr>
      <w:r w:rsidRPr="00FE5CA5">
        <w:rPr>
          <w:b/>
          <w:noProof/>
          <w:color w:val="000000" w:themeColor="text1"/>
          <w:sz w:val="28"/>
          <w:szCs w:val="28"/>
          <w:lang w:bidi="ar-SA"/>
        </w:rPr>
        <w:t>ИНСТРУКЦИЯ</w:t>
      </w:r>
    </w:p>
    <w:p w:rsidR="00D64F42" w:rsidRPr="00FE5CA5" w:rsidRDefault="00441474" w:rsidP="00FE5CA5">
      <w:pPr>
        <w:pStyle w:val="a3"/>
        <w:spacing w:line="276" w:lineRule="auto"/>
        <w:ind w:left="101"/>
        <w:jc w:val="both"/>
        <w:rPr>
          <w:b/>
          <w:noProof/>
          <w:color w:val="000000" w:themeColor="text1"/>
          <w:sz w:val="28"/>
          <w:szCs w:val="28"/>
          <w:lang w:bidi="ar-SA"/>
        </w:rPr>
      </w:pPr>
      <w:r w:rsidRPr="00FE5CA5">
        <w:rPr>
          <w:b/>
          <w:noProof/>
          <w:color w:val="000000" w:themeColor="text1"/>
          <w:sz w:val="28"/>
          <w:szCs w:val="28"/>
          <w:lang w:bidi="ar-SA"/>
        </w:rPr>
        <w:t xml:space="preserve">для организаторов и спортивных судей </w:t>
      </w:r>
      <w:r w:rsidR="00E748B8" w:rsidRPr="00FE5CA5">
        <w:rPr>
          <w:b/>
          <w:noProof/>
          <w:color w:val="000000" w:themeColor="text1"/>
          <w:sz w:val="28"/>
          <w:szCs w:val="28"/>
          <w:lang w:bidi="ar-SA"/>
        </w:rPr>
        <w:t xml:space="preserve">соревнований на территории Ярославской области с обсчетом </w:t>
      </w:r>
      <w:r w:rsidR="00427F1B" w:rsidRPr="00FE5CA5">
        <w:rPr>
          <w:b/>
          <w:noProof/>
          <w:color w:val="000000" w:themeColor="text1"/>
          <w:sz w:val="28"/>
          <w:szCs w:val="28"/>
          <w:lang w:bidi="ar-SA"/>
        </w:rPr>
        <w:t>международного</w:t>
      </w:r>
      <w:r w:rsidR="00E748B8" w:rsidRPr="00FE5CA5">
        <w:rPr>
          <w:b/>
          <w:noProof/>
          <w:color w:val="000000" w:themeColor="text1"/>
          <w:sz w:val="28"/>
          <w:szCs w:val="28"/>
          <w:lang w:bidi="ar-SA"/>
        </w:rPr>
        <w:t xml:space="preserve"> рейтинга</w:t>
      </w:r>
    </w:p>
    <w:p w:rsidR="00FF219E" w:rsidRPr="00FE5CA5" w:rsidRDefault="00FF219E" w:rsidP="00FE5CA5">
      <w:pPr>
        <w:pStyle w:val="a3"/>
        <w:spacing w:line="276" w:lineRule="auto"/>
        <w:ind w:left="101"/>
        <w:jc w:val="both"/>
        <w:rPr>
          <w:b/>
          <w:sz w:val="28"/>
          <w:szCs w:val="28"/>
        </w:rPr>
      </w:pPr>
    </w:p>
    <w:p w:rsidR="00D77CF0" w:rsidRPr="00FE5CA5" w:rsidRDefault="00D77CF0" w:rsidP="00FE5CA5">
      <w:pPr>
        <w:widowControl/>
        <w:numPr>
          <w:ilvl w:val="0"/>
          <w:numId w:val="6"/>
        </w:numPr>
        <w:autoSpaceDE/>
        <w:autoSpaceDN/>
        <w:spacing w:after="5" w:line="259" w:lineRule="auto"/>
        <w:ind w:hanging="249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ПРЕДВАРИТЕЛЬНАЯ РЕГИСТРАЦИЯ.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1.1. Для проведения турниров с нормами международных званий и турниров с обсчётом международного рейтинга их необходимо зарегистрировать в ФИДЕ. </w:t>
      </w:r>
    </w:p>
    <w:p w:rsidR="00CE1927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1.1.1. </w:t>
      </w:r>
      <w:r w:rsidR="00CE1927" w:rsidRPr="00FE5CA5">
        <w:rPr>
          <w:rFonts w:eastAsia="Calibri"/>
          <w:color w:val="000000"/>
          <w:sz w:val="24"/>
          <w:lang w:bidi="ar-SA"/>
        </w:rPr>
        <w:t xml:space="preserve">Для проведения турниров с нормами международных званий и турниров с обсчётом международного рейтинга их необходимо зарегистрировать в ФИДЕ. </w:t>
      </w:r>
    </w:p>
    <w:p w:rsidR="00D77CF0" w:rsidRPr="00FE5CA5" w:rsidRDefault="00CE1927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1.1.1. Для регистрации </w:t>
      </w:r>
      <w:r w:rsidRPr="00FE5CA5">
        <w:rPr>
          <w:rFonts w:eastAsia="Calibri"/>
          <w:b/>
          <w:color w:val="000000"/>
          <w:sz w:val="24"/>
          <w:lang w:bidi="ar-SA"/>
        </w:rPr>
        <w:t>турниров с обсчётом международного рейтинга в ФИДЕ</w:t>
      </w:r>
      <w:r w:rsidRPr="00FE5CA5">
        <w:rPr>
          <w:rFonts w:eastAsia="Calibri"/>
          <w:color w:val="000000"/>
          <w:sz w:val="24"/>
          <w:lang w:bidi="ar-SA"/>
        </w:rPr>
        <w:t xml:space="preserve">  организаторы турнира на территории Ярославской области за 15 и более рабочих дней должны направить региональному рейтинговому администратору (далее – </w:t>
      </w:r>
      <w:hyperlink r:id="rId7">
        <w:r w:rsidRPr="00FE5CA5">
          <w:rPr>
            <w:rStyle w:val="ab"/>
            <w:rFonts w:eastAsia="Calibri"/>
            <w:sz w:val="24"/>
            <w:lang w:bidi="ar-SA"/>
          </w:rPr>
          <w:t>РРА</w:t>
        </w:r>
      </w:hyperlink>
      <w:hyperlink r:id="rId8">
        <w:r w:rsidRPr="00FE5CA5">
          <w:rPr>
            <w:rStyle w:val="ab"/>
            <w:rFonts w:eastAsia="Calibri"/>
            <w:sz w:val="24"/>
            <w:lang w:bidi="ar-SA"/>
          </w:rPr>
          <w:t>)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Ярославской области </w:t>
      </w:r>
      <w:r w:rsidR="00E5663E" w:rsidRPr="00FE5CA5">
        <w:rPr>
          <w:rFonts w:eastAsia="Calibri"/>
          <w:color w:val="000000"/>
          <w:sz w:val="24"/>
          <w:lang w:bidi="ar-SA"/>
        </w:rPr>
        <w:t xml:space="preserve">на адрес электронной  почты </w:t>
      </w:r>
      <w:hyperlink r:id="rId9" w:history="1">
        <w:r w:rsidR="00E5663E" w:rsidRPr="00FE5CA5">
          <w:rPr>
            <w:rStyle w:val="ab"/>
            <w:rFonts w:eastAsia="Calibri"/>
            <w:sz w:val="24"/>
            <w:lang w:val="en-US" w:bidi="ar-SA"/>
          </w:rPr>
          <w:t>yarchessarbiter</w:t>
        </w:r>
        <w:r w:rsidR="00E5663E" w:rsidRPr="00FE5CA5">
          <w:rPr>
            <w:rStyle w:val="ab"/>
            <w:rFonts w:eastAsia="Calibri"/>
            <w:sz w:val="24"/>
            <w:lang w:bidi="ar-SA"/>
          </w:rPr>
          <w:t>@</w:t>
        </w:r>
        <w:r w:rsidR="00E5663E" w:rsidRPr="00FE5CA5">
          <w:rPr>
            <w:rStyle w:val="ab"/>
            <w:rFonts w:eastAsia="Calibri"/>
            <w:sz w:val="24"/>
            <w:lang w:val="en-US" w:bidi="ar-SA"/>
          </w:rPr>
          <w:t>ya</w:t>
        </w:r>
        <w:r w:rsidR="00E5663E" w:rsidRPr="00FE5CA5">
          <w:rPr>
            <w:rStyle w:val="ab"/>
            <w:rFonts w:eastAsia="Calibri"/>
            <w:sz w:val="24"/>
            <w:lang w:bidi="ar-SA"/>
          </w:rPr>
          <w:t>.</w:t>
        </w:r>
        <w:r w:rsidR="00E5663E" w:rsidRPr="00FE5CA5">
          <w:rPr>
            <w:rStyle w:val="ab"/>
            <w:rFonts w:eastAsia="Calibri"/>
            <w:sz w:val="24"/>
            <w:lang w:val="en-US" w:bidi="ar-SA"/>
          </w:rPr>
          <w:t>ru</w:t>
        </w:r>
      </w:hyperlink>
      <w:r w:rsidR="00E5663E" w:rsidRPr="00FE5CA5">
        <w:rPr>
          <w:rFonts w:eastAsia="Calibri"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color w:val="000000"/>
          <w:sz w:val="24"/>
          <w:lang w:bidi="ar-SA"/>
        </w:rPr>
        <w:t>заполненный</w:t>
      </w:r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  <w:hyperlink r:id="rId10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бланк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</w:t>
      </w:r>
      <w:r w:rsidR="00D77CF0" w:rsidRPr="00FE5CA5">
        <w:rPr>
          <w:rFonts w:eastAsia="Calibri"/>
          <w:color w:val="0000FF"/>
          <w:sz w:val="24"/>
          <w:u w:val="single" w:color="0000FF"/>
          <w:lang w:bidi="ar-SA"/>
        </w:rPr>
        <w:t>предварительной регистраци</w:t>
      </w:r>
      <w:hyperlink r:id="rId11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и</w:t>
        </w:r>
      </w:hyperlink>
      <w:hyperlink r:id="rId12">
        <w:r w:rsidR="00D77CF0" w:rsidRPr="00FE5CA5">
          <w:rPr>
            <w:rFonts w:eastAsia="Calibri"/>
            <w:color w:val="000000"/>
            <w:sz w:val="24"/>
            <w:lang w:bidi="ar-SA"/>
          </w:rPr>
          <w:t>,</w:t>
        </w:r>
      </w:hyperlink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color w:val="000000"/>
          <w:sz w:val="24"/>
          <w:lang w:bidi="ar-SA"/>
        </w:rPr>
        <w:t xml:space="preserve">который </w:t>
      </w:r>
      <w:hyperlink r:id="rId13">
        <w:r w:rsidRPr="00FE5CA5">
          <w:rPr>
            <w:rStyle w:val="ab"/>
            <w:rFonts w:eastAsia="Calibri"/>
            <w:sz w:val="24"/>
            <w:lang w:bidi="ar-SA"/>
          </w:rPr>
          <w:t>РРА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направляет рейтинговому администратору общероссийской общественной </w:t>
      </w:r>
      <w:r w:rsidR="00D77CF0" w:rsidRPr="00FE5CA5">
        <w:rPr>
          <w:rFonts w:eastAsia="Calibri"/>
          <w:color w:val="000000"/>
          <w:sz w:val="24"/>
          <w:lang w:bidi="ar-SA"/>
        </w:rPr>
        <w:t>«Федерация шахмат России» (далее – ФШР</w:t>
      </w:r>
      <w:r w:rsidR="00427F1B" w:rsidRPr="00FE5CA5">
        <w:rPr>
          <w:rFonts w:eastAsia="Calibri"/>
          <w:color w:val="000000"/>
          <w:sz w:val="24"/>
          <w:lang w:bidi="ar-SA"/>
        </w:rPr>
        <w:t>) за 10 и более дней.</w:t>
      </w:r>
      <w:r w:rsidR="00D77CF0" w:rsidRPr="00FE5CA5">
        <w:rPr>
          <w:rFonts w:eastAsia="Calibri"/>
          <w:color w:val="000000"/>
          <w:sz w:val="24"/>
          <w:lang w:bidi="ar-SA"/>
        </w:rPr>
        <w:t xml:space="preserve"> Вместе с заполненным бланком предварительной регистрации организаторами высылается утвержденное положение о турнире и регламент проведения (если имеется таковой). ФШР имеет право запросить у организаторов расписание туров, если об этом не сказано в присланных документах. </w:t>
      </w:r>
    </w:p>
    <w:p w:rsidR="00427F1B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Бланк предварительной регистрации соревнований направляются в ФШР только через РРА федерации шахмат или руководителя федерации шахмат субъекта РФ</w:t>
      </w:r>
      <w:r w:rsidR="00427F1B" w:rsidRPr="00FE5CA5">
        <w:rPr>
          <w:rFonts w:eastAsia="Calibri"/>
          <w:color w:val="000000"/>
          <w:sz w:val="24"/>
          <w:lang w:bidi="ar-SA"/>
        </w:rPr>
        <w:t>.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ind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u w:val="single" w:color="000000"/>
          <w:lang w:bidi="ar-SA"/>
        </w:rPr>
        <w:t>Турниры с количеством туров менее 7 регистрируются для обсчёта международного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b/>
          <w:color w:val="000000"/>
          <w:sz w:val="24"/>
          <w:u w:val="single" w:color="000000"/>
          <w:lang w:bidi="ar-SA"/>
        </w:rPr>
        <w:t>рейтинга в ФИДЕ в исключительных случаях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</w:p>
    <w:p w:rsidR="00D77CF0" w:rsidRPr="00FE5CA5" w:rsidRDefault="00D77CF0" w:rsidP="00FE5CA5">
      <w:pPr>
        <w:widowControl/>
        <w:numPr>
          <w:ilvl w:val="1"/>
          <w:numId w:val="7"/>
        </w:numPr>
        <w:autoSpaceDE/>
        <w:autoSpaceDN/>
        <w:spacing w:after="5" w:line="250" w:lineRule="auto"/>
        <w:ind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Название турнира и фамилии судей</w:t>
      </w:r>
      <w:r w:rsidRPr="00FE5CA5">
        <w:rPr>
          <w:rFonts w:eastAsia="Calibri"/>
          <w:b/>
          <w:color w:val="000000"/>
          <w:sz w:val="24"/>
          <w:u w:val="single" w:color="000000"/>
          <w:lang w:bidi="ar-SA"/>
        </w:rPr>
        <w:t xml:space="preserve"> обязательно</w:t>
      </w:r>
      <w:r w:rsidRPr="00FE5CA5">
        <w:rPr>
          <w:rFonts w:eastAsia="Calibri"/>
          <w:color w:val="000000"/>
          <w:sz w:val="24"/>
          <w:lang w:bidi="ar-SA"/>
        </w:rPr>
        <w:t xml:space="preserve"> заполнять на английском языке с указанием кода ФИДЕ (FIN) для судей. </w:t>
      </w:r>
    </w:p>
    <w:p w:rsidR="00D77CF0" w:rsidRPr="00FE5CA5" w:rsidRDefault="00D77CF0" w:rsidP="002272F3">
      <w:pPr>
        <w:widowControl/>
        <w:autoSpaceDE/>
        <w:autoSpaceDN/>
        <w:spacing w:after="5" w:line="250" w:lineRule="auto"/>
        <w:ind w:left="720"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В графе «Проводящая федерация» необходимо указывать наименование региональной федерации на английском языке. Также необходимо указывать фамилию, имя и код ФИДЕ (FIN) для главного организатора.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1"/>
          <w:numId w:val="7"/>
        </w:numPr>
        <w:autoSpaceDE/>
        <w:autoSpaceDN/>
        <w:spacing w:after="5" w:line="250" w:lineRule="auto"/>
        <w:ind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При предварительной регистрации данные турнира, за исключением дат проведения (начало и окончание соревнования), заполняются с приблизительной точностью. При необходимости в отчёте о турнире можно будет внести корректирующие изменения (уточнить название турни</w:t>
      </w:r>
      <w:r w:rsidR="00CE1927" w:rsidRPr="00FE5CA5">
        <w:rPr>
          <w:rFonts w:eastAsia="Calibri"/>
          <w:color w:val="000000"/>
          <w:sz w:val="24"/>
          <w:lang w:bidi="ar-SA"/>
        </w:rPr>
        <w:t>ра, имена и фамилии судей с FIN</w:t>
      </w:r>
      <w:r w:rsidRPr="00FE5CA5">
        <w:rPr>
          <w:rFonts w:eastAsia="Calibri"/>
          <w:color w:val="000000"/>
          <w:sz w:val="24"/>
          <w:lang w:bidi="ar-SA"/>
        </w:rPr>
        <w:t xml:space="preserve">, место и систему проведения (швейцарская, круговая и другие), категорию турнира (для круговых турниров), количество участников, фактический контроль времени).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1"/>
          <w:numId w:val="7"/>
        </w:numPr>
        <w:autoSpaceDE/>
        <w:autoSpaceDN/>
        <w:spacing w:after="5" w:line="250" w:lineRule="auto"/>
        <w:ind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После размещения предварительной регистрации турнира на сайте </w:t>
      </w:r>
      <w:hyperlink r:id="rId14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www.fide.com</w:t>
        </w:r>
      </w:hyperlink>
      <w:hyperlink r:id="rId15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в разделе 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Tournaments </w:t>
      </w:r>
      <w:r w:rsidRPr="00FE5CA5">
        <w:rPr>
          <w:rFonts w:eastAsia="Calibri"/>
          <w:color w:val="000000"/>
          <w:sz w:val="24"/>
          <w:lang w:bidi="ar-SA"/>
        </w:rPr>
        <w:t xml:space="preserve">(текущие турниры) организаторы должны сверить данные турнира и данные, размещённые на сайте ФИДЕ. При необходимости, корректировку данных направить РРА.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0"/>
          <w:numId w:val="6"/>
        </w:numPr>
        <w:autoSpaceDE/>
        <w:autoSpaceDN/>
        <w:spacing w:after="5" w:line="259" w:lineRule="auto"/>
        <w:ind w:hanging="249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lastRenderedPageBreak/>
        <w:t xml:space="preserve">ПРОВЕДЕНИЕ СОРЕВНОВАНИЙ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2.1. Количество игровых дней и туров в день согласно ФИДЕ </w:t>
      </w:r>
      <w:hyperlink r:id="rId16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Handbook</w:t>
        </w:r>
      </w:hyperlink>
      <w:hyperlink r:id="rId17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В течение одного дня время игры не должно превышать 12 часов. Это рассчитано, исходя из продолжительности партии 60 ходов, хотя при игре с добавлением или задержкой времени на каждый ход партия может продолжаться дольше. Турнир не может продолжаться более 90 календарных дней.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Для проведения турниров с обсчётом международного рейтинга в ФИДЕ необходимо использовать контроли времени с учетом рейтинга шахматистов согласно ФИДЕ </w:t>
      </w:r>
      <w:hyperlink r:id="rId18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Handbook</w:t>
        </w:r>
      </w:hyperlink>
      <w:hyperlink r:id="rId19">
        <w:r w:rsidRPr="00FE5CA5">
          <w:rPr>
            <w:rFonts w:eastAsia="Calibri"/>
            <w:color w:val="0000FF"/>
            <w:sz w:val="24"/>
            <w:lang w:bidi="ar-SA"/>
          </w:rPr>
          <w:t xml:space="preserve"> </w:t>
        </w:r>
      </w:hyperlink>
    </w:p>
    <w:p w:rsidR="00D77CF0" w:rsidRPr="00FE5CA5" w:rsidRDefault="00D77CF0" w:rsidP="00FE5CA5">
      <w:pPr>
        <w:widowControl/>
        <w:numPr>
          <w:ilvl w:val="3"/>
          <w:numId w:val="9"/>
        </w:numPr>
        <w:autoSpaceDE/>
        <w:autoSpaceDN/>
        <w:spacing w:after="5" w:line="250" w:lineRule="auto"/>
        <w:ind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если хотя бы один игрок в турнире имеет рейтинг ЭЛО 2200 и выше, контроль времени должен быть минимум 120 минут для каждого; </w:t>
      </w:r>
    </w:p>
    <w:p w:rsidR="00D77CF0" w:rsidRPr="00FE5CA5" w:rsidRDefault="00D77CF0" w:rsidP="00FE5CA5">
      <w:pPr>
        <w:widowControl/>
        <w:numPr>
          <w:ilvl w:val="3"/>
          <w:numId w:val="9"/>
        </w:numPr>
        <w:autoSpaceDE/>
        <w:autoSpaceDN/>
        <w:spacing w:after="5" w:line="250" w:lineRule="auto"/>
        <w:ind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если хотя бы один игрок в турнире имеет рейтинг ЭЛО 1600 и выше, контроль времени должен быть минимум 90 минут для каждого; </w:t>
      </w:r>
    </w:p>
    <w:p w:rsidR="00D77CF0" w:rsidRPr="00FE5CA5" w:rsidRDefault="00D77CF0" w:rsidP="00FE5CA5">
      <w:pPr>
        <w:widowControl/>
        <w:numPr>
          <w:ilvl w:val="3"/>
          <w:numId w:val="9"/>
        </w:numPr>
        <w:autoSpaceDE/>
        <w:autoSpaceDN/>
        <w:spacing w:after="5" w:line="250" w:lineRule="auto"/>
        <w:ind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если все игроки в турнире имеют рейтинг ЭЛО менее 1600, контроль времени должен быть минимум 60 минут для каждого.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5" w:right="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Официальные системы проведения соревнований: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5" w:right="6753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s – swiss – швейцарская; r – round robin – круговая; </w:t>
      </w:r>
    </w:p>
    <w:p w:rsidR="00D77CF0" w:rsidRPr="00FE5CA5" w:rsidRDefault="00D77CF0" w:rsidP="00FE5CA5">
      <w:pPr>
        <w:widowControl/>
        <w:autoSpaceDE/>
        <w:autoSpaceDN/>
        <w:ind w:right="4157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d – double round robin</w:t>
      </w:r>
      <w:r w:rsidR="00CE1927" w:rsidRPr="00FE5CA5">
        <w:rPr>
          <w:rFonts w:eastAsia="Calibri"/>
          <w:color w:val="000000"/>
          <w:sz w:val="24"/>
          <w:lang w:bidi="ar-SA"/>
        </w:rPr>
        <w:t xml:space="preserve"> – круговая система в 2 круга; </w:t>
      </w:r>
      <w:r w:rsidRPr="00FE5CA5">
        <w:rPr>
          <w:rFonts w:eastAsia="Calibri"/>
          <w:color w:val="000000"/>
          <w:sz w:val="24"/>
          <w:lang w:bidi="ar-SA"/>
        </w:rPr>
        <w:t xml:space="preserve">k – knock out – олимпийская;  m – match – матч;  t – team – командный турнир;  o – other – другие.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8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2.2. Для проведения турниров с нормами международных званий полезно изучить соответствующий раздел ФИДЕ </w:t>
      </w:r>
      <w:hyperlink r:id="rId20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Handbook</w:t>
        </w:r>
      </w:hyperlink>
      <w:hyperlink r:id="rId21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.</w:t>
        </w:r>
      </w:hyperlink>
      <w:r w:rsidRPr="00FE5CA5">
        <w:rPr>
          <w:rFonts w:eastAsia="Calibri"/>
          <w:color w:val="0000FF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ind w:left="-5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III. ПОРЯДОК СДАЧИ ОТЧЁТА О ТУРНИРЕ. 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Отчёт о завершившемся соревновании направляются в ФШР только через РРА федерации шахмат или руководителя федерации шахмат субъекта РФ.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 окончании соревнования в течение 10 дней (а для турниров с нормами игровых званий – в течение 7 дней) организаторы обязаны отправить РРА отчёт, в котором должны присутствовать следующие документы:  </w:t>
      </w:r>
    </w:p>
    <w:p w:rsidR="00D77CF0" w:rsidRPr="00FE5CA5" w:rsidRDefault="005736A5" w:rsidP="00FE5CA5">
      <w:pPr>
        <w:widowControl/>
        <w:numPr>
          <w:ilvl w:val="0"/>
          <w:numId w:val="12"/>
        </w:numPr>
        <w:autoSpaceDE/>
        <w:autoSpaceDN/>
        <w:spacing w:after="5" w:line="259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hyperlink r:id="rId22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Предварительная заявка</w:t>
        </w:r>
      </w:hyperlink>
      <w:hyperlink r:id="rId23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.</w:t>
        </w:r>
      </w:hyperlink>
      <w:hyperlink r:id="rId24">
        <w:r w:rsidR="00D77CF0"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5736A5" w:rsidP="00FE5CA5">
      <w:pPr>
        <w:widowControl/>
        <w:numPr>
          <w:ilvl w:val="0"/>
          <w:numId w:val="12"/>
        </w:numPr>
        <w:autoSpaceDE/>
        <w:autoSpaceDN/>
        <w:spacing w:after="5" w:line="259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hyperlink r:id="rId25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Регистрационная карточка турнира</w:t>
        </w:r>
      </w:hyperlink>
      <w:hyperlink r:id="rId26">
        <w:r w:rsidR="00D77CF0" w:rsidRPr="00FE5CA5">
          <w:rPr>
            <w:rFonts w:eastAsia="Calibri"/>
            <w:color w:val="0000FF"/>
            <w:sz w:val="24"/>
            <w:u w:val="single" w:color="0000FF"/>
            <w:lang w:bidi="ar-SA"/>
          </w:rPr>
          <w:t>.</w:t>
        </w:r>
      </w:hyperlink>
      <w:hyperlink r:id="rId27">
        <w:r w:rsidR="00D77CF0"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Жеребьёвочный файл турнира.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Положение о турнире.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Отчёт главного судьи, заверенный подписью этого судьи</w:t>
      </w:r>
      <w:hyperlink r:id="rId28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hyperlink r:id="rId29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(образец)</w:t>
        </w:r>
      </w:hyperlink>
      <w:hyperlink r:id="rId30">
        <w:r w:rsidRPr="00FE5CA5">
          <w:rPr>
            <w:rFonts w:eastAsia="Calibri"/>
            <w:color w:val="000000"/>
            <w:sz w:val="24"/>
            <w:lang w:bidi="ar-SA"/>
          </w:rPr>
          <w:t>.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Таблица турнира: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а) для турниров по круговой системе: сканированную таблицу, заверенную печатью проводящей организации и подписями главного судьи и заместителей главного судьи (если таковые были). 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б) Для турниров по швейцарской системе необходимо представить итоговый протокол, заверенный подписями главного судьи, заместителя главного судьи и печатью проводящей организации в сканированном и обычном виде. </w:t>
      </w:r>
    </w:p>
    <w:p w:rsidR="00D77CF0" w:rsidRPr="00FE5CA5" w:rsidRDefault="00D77CF0" w:rsidP="00FE5CA5">
      <w:pPr>
        <w:widowControl/>
        <w:numPr>
          <w:ilvl w:val="0"/>
          <w:numId w:val="12"/>
        </w:numPr>
        <w:autoSpaceDE/>
        <w:autoSpaceDN/>
        <w:spacing w:after="28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Скан квитанции о взносе за регистрацию турнира в ФИДЕ (если турнир с классическим контролем).</w:t>
      </w:r>
      <w:r w:rsidRPr="00FE5CA5">
        <w:rPr>
          <w:rFonts w:eastAsia="Calibri"/>
          <w:color w:val="000000"/>
          <w:sz w:val="20"/>
          <w:lang w:bidi="ar-SA"/>
        </w:rPr>
        <w:t xml:space="preserve"> 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-15" w:right="53" w:firstLine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8.</w:t>
      </w:r>
      <w:r w:rsidR="00541BF3" w:rsidRPr="00FE5CA5">
        <w:rPr>
          <w:rFonts w:eastAsia="Calibri"/>
          <w:color w:val="000000"/>
          <w:sz w:val="24"/>
          <w:lang w:bidi="ar-SA"/>
        </w:rPr>
        <w:t xml:space="preserve"> </w:t>
      </w:r>
      <w:r w:rsidRPr="00FE5CA5">
        <w:rPr>
          <w:rFonts w:eastAsia="Calibri"/>
          <w:color w:val="000000"/>
          <w:sz w:val="24"/>
          <w:lang w:bidi="ar-SA"/>
        </w:rPr>
        <w:t>Партии в формате PGN (для турниров, где установлены нормы междун</w:t>
      </w:r>
      <w:r w:rsidR="00541BF3" w:rsidRPr="00FE5CA5">
        <w:rPr>
          <w:rFonts w:eastAsia="Calibri"/>
          <w:color w:val="000000"/>
          <w:sz w:val="24"/>
          <w:lang w:bidi="ar-SA"/>
        </w:rPr>
        <w:t>ародных званий обязательно!!!).</w:t>
      </w:r>
    </w:p>
    <w:p w:rsidR="00541BF3" w:rsidRPr="00FE5CA5" w:rsidRDefault="00541BF3" w:rsidP="00FE5CA5">
      <w:pPr>
        <w:widowControl/>
        <w:autoSpaceDE/>
        <w:autoSpaceDN/>
        <w:spacing w:line="259" w:lineRule="auto"/>
        <w:ind w:left="21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9. Подтверждение оплаты </w:t>
      </w:r>
      <w:r w:rsidR="00574703">
        <w:rPr>
          <w:rFonts w:eastAsia="Calibri"/>
          <w:color w:val="000000"/>
          <w:sz w:val="24"/>
          <w:lang w:bidi="ar-SA"/>
        </w:rPr>
        <w:t xml:space="preserve">взноса за турнир </w:t>
      </w:r>
      <w:r w:rsidRPr="00FE5CA5">
        <w:rPr>
          <w:rFonts w:eastAsia="Calibri"/>
          <w:color w:val="000000"/>
          <w:sz w:val="24"/>
          <w:lang w:bidi="ar-SA"/>
        </w:rPr>
        <w:t>РОО «Спортивная федерация шахмат Ярославской области».</w:t>
      </w:r>
    </w:p>
    <w:p w:rsidR="00D77CF0" w:rsidRPr="00FE5CA5" w:rsidRDefault="00D77CF0" w:rsidP="00FE5CA5">
      <w:pPr>
        <w:widowControl/>
        <w:autoSpaceDE/>
        <w:autoSpaceDN/>
        <w:spacing w:after="25" w:line="259" w:lineRule="auto"/>
        <w:ind w:left="-5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Дополнительно: 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42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lastRenderedPageBreak/>
        <w:t xml:space="preserve">ответственность за написание латинскими буквами фамилии и имени шахматиста (как имеющего код ФИДЕ, так еще и не зарегистрированного в базе ФИДЕ) в жеребьевочном файле и итоговом протоколе несёт РРА субъекта РФ.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39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в данных судей указываются FIN (код ФИДЕ) лицензированных судей, через один пробел фамилия, имя на английском языке.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42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для новых игроков (не имеющих FIN) кода ФИДЕ необходимо полностью указывать дату рождения. В ином случае отчёт программа ФИДЕ не примет. Для каждого игрока необходимо указывать его федерацию (RUS – Российская Федерация); </w:t>
      </w:r>
    </w:p>
    <w:p w:rsidR="00D77CF0" w:rsidRPr="00FE5CA5" w:rsidRDefault="00D77CF0" w:rsidP="00FE5CA5">
      <w:pPr>
        <w:widowControl/>
        <w:numPr>
          <w:ilvl w:val="0"/>
          <w:numId w:val="13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>если в турнире планируется участие иностранных граждан, то необходимо изучить следующую информацию:</w:t>
      </w:r>
      <w:hyperlink r:id="rId31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hyperlink r:id="rId32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https://handbook.fide.com/chapter/B032015</w:t>
        </w:r>
      </w:hyperlink>
      <w:hyperlink r:id="rId33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При невыполнении данного условия, турнир направлен в ФИДЕ не будет. </w:t>
      </w:r>
    </w:p>
    <w:p w:rsidR="00D77CF0" w:rsidRPr="00FE5CA5" w:rsidRDefault="00D77CF0" w:rsidP="00FE5CA5">
      <w:pPr>
        <w:widowControl/>
        <w:autoSpaceDE/>
        <w:autoSpaceDN/>
        <w:spacing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D77CF0" w:rsidRPr="00FE5CA5" w:rsidRDefault="005E4D98" w:rsidP="00FE5CA5">
      <w:pPr>
        <w:widowControl/>
        <w:numPr>
          <w:ilvl w:val="0"/>
          <w:numId w:val="14"/>
        </w:numPr>
        <w:autoSpaceDE/>
        <w:autoSpaceDN/>
        <w:spacing w:after="5"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>РЕКВИЗИТЫ И ТАРИФЫ</w:t>
      </w:r>
      <w:r w:rsidR="00D77CF0" w:rsidRPr="00FE5CA5">
        <w:rPr>
          <w:rFonts w:eastAsia="Calibri"/>
          <w:b/>
          <w:color w:val="000000"/>
          <w:sz w:val="24"/>
          <w:lang w:bidi="ar-SA"/>
        </w:rPr>
        <w:t>.</w:t>
      </w:r>
      <w:r w:rsidR="00D77CF0"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5E4D98" w:rsidRPr="00FE5CA5" w:rsidRDefault="00D77CF0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u w:val="single"/>
          <w:lang w:bidi="ar-SA"/>
        </w:rPr>
        <w:t>Реквизиты ФШР по ссылке</w:t>
      </w:r>
      <w:r w:rsidRPr="00FE5CA5">
        <w:rPr>
          <w:rFonts w:eastAsia="Calibri"/>
          <w:color w:val="000000"/>
          <w:sz w:val="24"/>
          <w:lang w:bidi="ar-SA"/>
        </w:rPr>
        <w:t xml:space="preserve">: </w:t>
      </w:r>
      <w:hyperlink r:id="rId34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http://ruchess.ru/federation/contacts/</w:t>
        </w:r>
      </w:hyperlink>
      <w:hyperlink r:id="rId35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 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Общероссийская общественная организация «Федерация шахмат России»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ИНН/КПП: 7704016433/770401001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Юридический адрес: 119019 Москва, Гоголевский бульвар, д. 14, стр. 1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Полное наименование банка: ПАО Сбербанк г. Москва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Расчетный счет: № 40703810438260100813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Корреспондентский счет: № 30101810400000000225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БИК 044525225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ОГРН 1037739496024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Код ОКВЭД 91.33, 92.62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Код ОКПО 00038391</w:t>
      </w:r>
    </w:p>
    <w:p w:rsidR="005E4D98" w:rsidRPr="00FE5CA5" w:rsidRDefault="005E4D98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  <w:lang w:bidi="ar-SA"/>
        </w:rPr>
        <w:t>Код ОКТМО 45383000</w:t>
      </w:r>
    </w:p>
    <w:p w:rsidR="007E5EE4" w:rsidRPr="00FE5CA5" w:rsidRDefault="007E5EE4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color w:val="000000"/>
          <w:sz w:val="18"/>
          <w:szCs w:val="18"/>
          <w:lang w:bidi="ar-SA"/>
        </w:rPr>
      </w:pPr>
      <w:r w:rsidRPr="00FE5CA5">
        <w:rPr>
          <w:rFonts w:eastAsia="Calibri"/>
          <w:color w:val="000000"/>
          <w:sz w:val="18"/>
          <w:szCs w:val="18"/>
        </w:rPr>
        <w:t>Назначение платежа</w:t>
      </w:r>
      <w:r w:rsidRPr="00FE5CA5">
        <w:rPr>
          <w:rFonts w:eastAsia="Calibri"/>
          <w:color w:val="000000"/>
          <w:sz w:val="18"/>
          <w:szCs w:val="18"/>
          <w:lang w:bidi="ar-SA"/>
        </w:rPr>
        <w:t>: Взнос на международное развитие российских шахмат. Оплата за регистрацию турнира в ФИДЕ</w:t>
      </w:r>
    </w:p>
    <w:p w:rsidR="00D77CF0" w:rsidRPr="00FE5CA5" w:rsidRDefault="00D77CF0" w:rsidP="00FE5CA5">
      <w:pPr>
        <w:widowControl/>
        <w:autoSpaceDE/>
        <w:autoSpaceDN/>
        <w:spacing w:after="5" w:line="250" w:lineRule="auto"/>
        <w:ind w:left="228" w:right="1702" w:hanging="10"/>
        <w:jc w:val="both"/>
        <w:rPr>
          <w:rFonts w:eastAsia="Calibri"/>
          <w:b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>Размер взноса за регистрацию турнира в ФИДЕ по</w:t>
      </w:r>
      <w:r w:rsidRPr="00FE5CA5">
        <w:rPr>
          <w:rFonts w:eastAsia="Calibri"/>
          <w:b/>
          <w:color w:val="000000"/>
          <w:sz w:val="20"/>
          <w:lang w:bidi="ar-SA"/>
        </w:rPr>
        <w:t xml:space="preserve"> </w:t>
      </w:r>
      <w:r w:rsidRPr="00FE5CA5">
        <w:rPr>
          <w:rFonts w:eastAsia="Calibri"/>
          <w:b/>
          <w:color w:val="000000"/>
          <w:sz w:val="23"/>
          <w:lang w:bidi="ar-SA"/>
        </w:rPr>
        <w:t>ссылке:</w:t>
      </w:r>
      <w:r w:rsidRPr="00FE5CA5">
        <w:rPr>
          <w:rFonts w:eastAsia="Calibri"/>
          <w:b/>
          <w:color w:val="000000"/>
          <w:sz w:val="20"/>
          <w:lang w:bidi="ar-SA"/>
        </w:rPr>
        <w:t xml:space="preserve"> </w:t>
      </w:r>
    </w:p>
    <w:p w:rsidR="00541BF3" w:rsidRDefault="005736A5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hyperlink r:id="rId36">
        <w:r w:rsidR="00D77CF0" w:rsidRPr="00FE5CA5">
          <w:rPr>
            <w:rFonts w:eastAsia="Calibri"/>
            <w:color w:val="0000FF"/>
            <w:u w:val="single" w:color="0000FF"/>
            <w:lang w:bidi="ar-SA"/>
          </w:rPr>
          <w:t>https://ruchess.ru/downloads/2019/annex_decision_2.pdf</w:t>
        </w:r>
      </w:hyperlink>
      <w:hyperlink r:id="rId37">
        <w:r w:rsidR="00D77CF0" w:rsidRPr="00FE5CA5">
          <w:rPr>
            <w:rFonts w:eastAsia="Calibri"/>
            <w:color w:val="000000"/>
            <w:sz w:val="20"/>
            <w:lang w:bidi="ar-SA"/>
          </w:rPr>
          <w:t xml:space="preserve"> </w:t>
        </w:r>
      </w:hyperlink>
    </w:p>
    <w:p w:rsidR="00FE5CA5" w:rsidRPr="00FE5CA5" w:rsidRDefault="00FE5CA5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</w:p>
    <w:p w:rsidR="00FE5CA5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u w:val="single"/>
          <w:lang w:bidi="ar-SA"/>
        </w:rPr>
      </w:pPr>
      <w:r w:rsidRPr="00FE5CA5">
        <w:rPr>
          <w:rFonts w:eastAsia="Calibri"/>
          <w:color w:val="000000"/>
          <w:sz w:val="20"/>
          <w:u w:val="single"/>
          <w:lang w:bidi="ar-SA"/>
        </w:rPr>
        <w:t>круговой турнир или матч (шахматы)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Диапазон среднего рейтинга турнира/матча                        Размер взноса (в рублях)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до 2300 пунктов                                                                                               5000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2301 – 2400 пунктов                                                                                      10000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2401 – 2500 пунктов                                                                                      15000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2501 – 2600 пунктов                                                                                      20000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2601 и более                                                                                                    30000</w:t>
      </w:r>
    </w:p>
    <w:p w:rsidR="00FE5CA5" w:rsidRDefault="00FE5CA5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u w:val="single"/>
          <w:lang w:bidi="ar-SA"/>
        </w:rPr>
      </w:pPr>
    </w:p>
    <w:p w:rsidR="00FE5CA5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u w:val="single"/>
          <w:lang w:bidi="ar-SA"/>
        </w:rPr>
      </w:pPr>
      <w:r w:rsidRPr="00FE5CA5">
        <w:rPr>
          <w:rFonts w:eastAsia="Calibri"/>
          <w:color w:val="000000"/>
          <w:sz w:val="20"/>
          <w:u w:val="single"/>
          <w:lang w:bidi="ar-SA"/>
        </w:rPr>
        <w:t>индивидуальный турнир по швейцарской системе и/или командный турнир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t>100 рублей за одного участника (шахматы)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lang w:bidi="ar-SA"/>
        </w:rPr>
        <w:cr/>
      </w:r>
      <w:r w:rsidRPr="00FE5CA5">
        <w:rPr>
          <w:rFonts w:eastAsia="Calibri"/>
          <w:color w:val="000000"/>
          <w:sz w:val="24"/>
        </w:rPr>
        <w:t xml:space="preserve"> </w:t>
      </w:r>
      <w:r w:rsidRPr="00FE5CA5">
        <w:rPr>
          <w:rFonts w:eastAsia="Calibri"/>
          <w:color w:val="000000"/>
          <w:sz w:val="20"/>
        </w:rPr>
        <w:t xml:space="preserve">В соответствии с Приказом №04-10.2020 от 21.10.2020г. </w:t>
      </w:r>
      <w:r w:rsidRPr="00FE5CA5">
        <w:rPr>
          <w:rFonts w:eastAsia="Calibri"/>
          <w:color w:val="000000"/>
          <w:sz w:val="20"/>
          <w:lang w:bidi="ar-SA"/>
        </w:rPr>
        <w:t xml:space="preserve">Региональная общественная организации «Спортивная федерация шахмат Ярославской области» </w:t>
      </w:r>
      <w:r w:rsidRPr="00FE5CA5">
        <w:rPr>
          <w:rFonts w:eastAsia="Calibri"/>
          <w:color w:val="000000"/>
          <w:sz w:val="20"/>
        </w:rPr>
        <w:t xml:space="preserve">с 1 ноября 2020г. взимает </w:t>
      </w:r>
      <w:r w:rsidR="00574703">
        <w:rPr>
          <w:rFonts w:eastAsia="Calibri"/>
          <w:color w:val="000000"/>
          <w:sz w:val="20"/>
        </w:rPr>
        <w:t xml:space="preserve">взнос за услугу по </w:t>
      </w:r>
      <w:r w:rsidR="00574703" w:rsidRPr="00574703">
        <w:rPr>
          <w:rFonts w:eastAsia="Calibri"/>
          <w:color w:val="000000"/>
          <w:sz w:val="20"/>
        </w:rPr>
        <w:t>отправке и обслуживанию материалов</w:t>
      </w:r>
      <w:r w:rsidRPr="00FE5CA5">
        <w:rPr>
          <w:rFonts w:eastAsia="Calibri"/>
          <w:color w:val="000000"/>
          <w:sz w:val="20"/>
        </w:rPr>
        <w:t xml:space="preserve"> по обсчету международного рейтинга:</w:t>
      </w:r>
    </w:p>
    <w:p w:rsidR="007E5EE4" w:rsidRPr="00FE5CA5" w:rsidRDefault="00574703" w:rsidP="00574703">
      <w:pPr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взнос для</w:t>
      </w:r>
      <w:r w:rsidRPr="00574703">
        <w:rPr>
          <w:rFonts w:eastAsia="Calibri"/>
          <w:color w:val="000000"/>
          <w:sz w:val="20"/>
        </w:rPr>
        <w:t xml:space="preserve"> турнира</w:t>
      </w:r>
      <w:r w:rsidR="007E5EE4" w:rsidRPr="00FE5CA5">
        <w:rPr>
          <w:rFonts w:eastAsia="Calibri"/>
          <w:color w:val="000000"/>
          <w:sz w:val="20"/>
        </w:rPr>
        <w:t xml:space="preserve"> </w:t>
      </w:r>
      <w:r w:rsidR="007E5EE4" w:rsidRPr="00FE5CA5">
        <w:rPr>
          <w:rFonts w:eastAsia="Calibri"/>
          <w:b/>
          <w:color w:val="000000"/>
          <w:sz w:val="20"/>
        </w:rPr>
        <w:t>по шахматам</w:t>
      </w:r>
      <w:r w:rsidR="007E5EE4" w:rsidRPr="00FE5CA5">
        <w:rPr>
          <w:rFonts w:eastAsia="Calibri"/>
          <w:color w:val="000000"/>
          <w:sz w:val="20"/>
        </w:rPr>
        <w:t xml:space="preserve"> производится из расчета </w:t>
      </w:r>
      <w:r w:rsidR="007E5EE4" w:rsidRPr="00FE5CA5">
        <w:rPr>
          <w:rFonts w:eastAsia="Calibri"/>
          <w:b/>
          <w:color w:val="000000"/>
          <w:sz w:val="20"/>
        </w:rPr>
        <w:t>20 (двадцать) рублей за участника</w:t>
      </w:r>
      <w:r w:rsidR="007E5EE4" w:rsidRPr="00FE5CA5">
        <w:rPr>
          <w:rFonts w:eastAsia="Calibri"/>
          <w:color w:val="000000"/>
          <w:sz w:val="20"/>
        </w:rPr>
        <w:t>;</w:t>
      </w:r>
    </w:p>
    <w:p w:rsidR="007E5EE4" w:rsidRPr="00FE5CA5" w:rsidRDefault="00574703" w:rsidP="00574703">
      <w:pPr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взнос для </w:t>
      </w:r>
      <w:r w:rsidRPr="00574703">
        <w:rPr>
          <w:rFonts w:eastAsia="Calibri"/>
          <w:color w:val="000000"/>
          <w:sz w:val="20"/>
        </w:rPr>
        <w:t>турнира</w:t>
      </w:r>
      <w:r w:rsidR="007E5EE4" w:rsidRPr="00FE5CA5">
        <w:rPr>
          <w:rFonts w:eastAsia="Calibri"/>
          <w:color w:val="000000"/>
          <w:sz w:val="20"/>
        </w:rPr>
        <w:t xml:space="preserve"> </w:t>
      </w:r>
      <w:r w:rsidR="007E5EE4" w:rsidRPr="00FE5CA5">
        <w:rPr>
          <w:rFonts w:eastAsia="Calibri"/>
          <w:b/>
          <w:color w:val="000000"/>
          <w:sz w:val="20"/>
        </w:rPr>
        <w:t>по быстрым шахматам</w:t>
      </w:r>
      <w:r w:rsidR="007E5EE4" w:rsidRPr="00FE5CA5">
        <w:rPr>
          <w:rFonts w:eastAsia="Calibri"/>
          <w:color w:val="000000"/>
          <w:sz w:val="20"/>
        </w:rPr>
        <w:t xml:space="preserve"> производится из расчета </w:t>
      </w:r>
      <w:r w:rsidR="007E5EE4" w:rsidRPr="00FE5CA5">
        <w:rPr>
          <w:rFonts w:eastAsia="Calibri"/>
          <w:b/>
          <w:color w:val="000000"/>
          <w:sz w:val="20"/>
        </w:rPr>
        <w:t>10 (десять) рублей за участника</w:t>
      </w:r>
      <w:r w:rsidR="007E5EE4" w:rsidRPr="00FE5CA5">
        <w:rPr>
          <w:rFonts w:eastAsia="Calibri"/>
          <w:color w:val="000000"/>
          <w:sz w:val="20"/>
        </w:rPr>
        <w:t>;</w:t>
      </w:r>
    </w:p>
    <w:p w:rsidR="007E5EE4" w:rsidRPr="00FE5CA5" w:rsidRDefault="00574703" w:rsidP="00574703">
      <w:pPr>
        <w:widowControl/>
        <w:numPr>
          <w:ilvl w:val="0"/>
          <w:numId w:val="4"/>
        </w:numPr>
        <w:autoSpaceDE/>
        <w:autoSpaceDN/>
        <w:spacing w:line="259" w:lineRule="auto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 xml:space="preserve">взнос для </w:t>
      </w:r>
      <w:r w:rsidRPr="00574703">
        <w:rPr>
          <w:rFonts w:eastAsia="Calibri"/>
          <w:color w:val="000000"/>
          <w:sz w:val="20"/>
        </w:rPr>
        <w:t xml:space="preserve">турнира </w:t>
      </w:r>
      <w:r w:rsidR="007E5EE4" w:rsidRPr="00FE5CA5">
        <w:rPr>
          <w:rFonts w:eastAsia="Calibri"/>
          <w:b/>
          <w:color w:val="000000"/>
          <w:sz w:val="20"/>
        </w:rPr>
        <w:t>по блицу</w:t>
      </w:r>
      <w:r w:rsidR="007E5EE4" w:rsidRPr="00FE5CA5">
        <w:rPr>
          <w:rFonts w:eastAsia="Calibri"/>
          <w:color w:val="000000"/>
          <w:sz w:val="20"/>
        </w:rPr>
        <w:t xml:space="preserve"> производится из расчета </w:t>
      </w:r>
      <w:r w:rsidR="007E5EE4" w:rsidRPr="00FE5CA5">
        <w:rPr>
          <w:rFonts w:eastAsia="Calibri"/>
          <w:b/>
          <w:color w:val="000000"/>
          <w:sz w:val="20"/>
        </w:rPr>
        <w:t>10 (десять) рублей за участника</w:t>
      </w:r>
      <w:r w:rsidR="007E5EE4" w:rsidRPr="00FE5CA5">
        <w:rPr>
          <w:rFonts w:eastAsia="Calibri"/>
          <w:color w:val="000000"/>
          <w:sz w:val="20"/>
        </w:rPr>
        <w:t>.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Реквизиты: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РОО «Спортивная федерация шахмат Ярославской области»,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г. Ярославль, ул. Некрасова, 86-45,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ОГРН 1137600001769,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ИНН 7604202370, КПП 760401001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расчетный счет 40703810677030000113,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Банк получателя: Калужское отделение №8608 ПАО Сбербанк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БИК: 042908612 Кор.  счет 30101810100000000612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720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>Назначение платежа: «</w:t>
      </w:r>
      <w:r w:rsidR="008E0335">
        <w:rPr>
          <w:rFonts w:eastAsia="Calibri"/>
          <w:color w:val="000000"/>
          <w:sz w:val="20"/>
        </w:rPr>
        <w:t>В</w:t>
      </w:r>
      <w:r w:rsidRPr="00FE5CA5">
        <w:rPr>
          <w:rFonts w:eastAsia="Calibri"/>
          <w:color w:val="000000"/>
          <w:sz w:val="20"/>
        </w:rPr>
        <w:t xml:space="preserve">знос </w:t>
      </w:r>
      <w:r w:rsidR="008E0335">
        <w:rPr>
          <w:rFonts w:eastAsia="Calibri"/>
          <w:color w:val="000000"/>
          <w:sz w:val="20"/>
        </w:rPr>
        <w:t>на уставную деятельность</w:t>
      </w:r>
      <w:r w:rsidRPr="00FE5CA5">
        <w:rPr>
          <w:rFonts w:eastAsia="Calibri"/>
          <w:color w:val="000000"/>
          <w:sz w:val="20"/>
        </w:rPr>
        <w:t>»</w:t>
      </w:r>
    </w:p>
    <w:p w:rsidR="007E5EE4" w:rsidRPr="00FE5CA5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</w:rPr>
      </w:pPr>
      <w:r w:rsidRPr="00FE5CA5">
        <w:rPr>
          <w:rFonts w:eastAsia="Calibri"/>
          <w:color w:val="000000"/>
          <w:sz w:val="20"/>
        </w:rPr>
        <w:t xml:space="preserve">Обсчет международного рейтинга в официальных чемпионатах и первенствах Ярославской области по шахматам, быстрым шахматам и блицу, официальных чемпионатах и первенствах </w:t>
      </w:r>
      <w:r w:rsidR="00C03D13">
        <w:rPr>
          <w:rFonts w:eastAsia="Calibri"/>
          <w:color w:val="000000"/>
          <w:sz w:val="20"/>
        </w:rPr>
        <w:t xml:space="preserve">МО </w:t>
      </w:r>
      <w:r w:rsidRPr="00FE5CA5">
        <w:rPr>
          <w:rFonts w:eastAsia="Calibri"/>
          <w:color w:val="000000"/>
          <w:sz w:val="20"/>
        </w:rPr>
        <w:t>Ярославской области по шахматам, быстрым шахматам и блицу производится бесплатно в части оплаты услуги Региональной общественной организации «Спортивная федерация шахмат Ярославской области»</w:t>
      </w:r>
      <w:r w:rsidR="00574703">
        <w:rPr>
          <w:rFonts w:eastAsia="Calibri"/>
          <w:color w:val="000000"/>
          <w:sz w:val="20"/>
        </w:rPr>
        <w:t xml:space="preserve">, в том случае, если </w:t>
      </w:r>
      <w:r w:rsidR="00574703">
        <w:rPr>
          <w:rFonts w:eastAsia="Calibri"/>
          <w:color w:val="000000"/>
          <w:sz w:val="20"/>
        </w:rPr>
        <w:lastRenderedPageBreak/>
        <w:t>турниры проводятся без стартовых взносов</w:t>
      </w:r>
      <w:r w:rsidRPr="00FE5CA5">
        <w:rPr>
          <w:rFonts w:eastAsia="Calibri"/>
          <w:color w:val="000000"/>
          <w:sz w:val="20"/>
        </w:rPr>
        <w:t>. Для этого меропри</w:t>
      </w:r>
      <w:r w:rsidR="00574703">
        <w:rPr>
          <w:rFonts w:eastAsia="Calibri"/>
          <w:color w:val="000000"/>
          <w:sz w:val="20"/>
        </w:rPr>
        <w:t xml:space="preserve">ятия должны быть включены в </w:t>
      </w:r>
      <w:r w:rsidR="00F3034E">
        <w:rPr>
          <w:rFonts w:eastAsia="Calibri"/>
          <w:color w:val="000000"/>
          <w:sz w:val="20"/>
        </w:rPr>
        <w:t xml:space="preserve">соответствующие </w:t>
      </w:r>
      <w:bookmarkStart w:id="0" w:name="_GoBack"/>
      <w:bookmarkEnd w:id="0"/>
      <w:r w:rsidR="00574703">
        <w:rPr>
          <w:rFonts w:eastAsia="Calibri"/>
          <w:color w:val="000000"/>
          <w:sz w:val="20"/>
        </w:rPr>
        <w:t>ЕКП.</w:t>
      </w:r>
    </w:p>
    <w:p w:rsidR="00E5663E" w:rsidRDefault="007E5EE4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  <w:r w:rsidRPr="00FE5CA5">
        <w:rPr>
          <w:rFonts w:eastAsia="Calibri"/>
          <w:color w:val="000000"/>
          <w:sz w:val="20"/>
          <w:u w:val="single"/>
        </w:rPr>
        <w:t xml:space="preserve">В целях популяризации и развития шахмат на территории Ярославской области возможен обсчет международного рейтинга в турнирах без стартовых взносов по решению </w:t>
      </w:r>
      <w:r w:rsidR="00D33027">
        <w:rPr>
          <w:rFonts w:eastAsia="Calibri"/>
          <w:color w:val="000000"/>
          <w:sz w:val="20"/>
          <w:u w:val="single"/>
        </w:rPr>
        <w:t>Президента СФШ ЯО без оплаты</w:t>
      </w:r>
      <w:r w:rsidRPr="00FE5CA5">
        <w:rPr>
          <w:rFonts w:eastAsia="Calibri"/>
          <w:color w:val="000000"/>
          <w:sz w:val="20"/>
          <w:u w:val="single"/>
        </w:rPr>
        <w:t xml:space="preserve">. Для этого отправляется официальный запрос на электронную почту </w:t>
      </w:r>
      <w:hyperlink r:id="rId38" w:history="1">
        <w:r w:rsidRPr="00FE5CA5">
          <w:rPr>
            <w:rStyle w:val="ab"/>
            <w:rFonts w:eastAsia="Calibri"/>
            <w:sz w:val="20"/>
          </w:rPr>
          <w:t>yarchessarbiter@ya.ru</w:t>
        </w:r>
      </w:hyperlink>
    </w:p>
    <w:p w:rsidR="00FE5CA5" w:rsidRPr="00FE5CA5" w:rsidRDefault="00FE5CA5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color w:val="000000"/>
          <w:sz w:val="20"/>
          <w:lang w:bidi="ar-SA"/>
        </w:rPr>
      </w:pPr>
    </w:p>
    <w:p w:rsidR="007E5EE4" w:rsidRPr="00FE5CA5" w:rsidRDefault="00395902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lang w:bidi="ar-SA"/>
        </w:rPr>
      </w:pPr>
      <w:r w:rsidRPr="00FE5CA5">
        <w:rPr>
          <w:rFonts w:eastAsia="Calibri"/>
          <w:b/>
          <w:color w:val="000000"/>
          <w:sz w:val="20"/>
          <w:lang w:bidi="ar-SA"/>
        </w:rPr>
        <w:t xml:space="preserve">ВНИМАНИЕ! Для турниров, подаваемых на обсчет международного и национального рейтинга одновременно, взнос за услугу Региональной общественной организации «Спортивная федерация шахмат Ярославской области» </w:t>
      </w:r>
      <w:r w:rsidR="009E67FE" w:rsidRPr="00FE5CA5">
        <w:rPr>
          <w:rFonts w:eastAsia="Calibri"/>
          <w:b/>
          <w:color w:val="000000"/>
          <w:sz w:val="20"/>
          <w:lang w:bidi="ar-SA"/>
        </w:rPr>
        <w:t>вносится</w:t>
      </w:r>
      <w:r w:rsidRPr="00FE5CA5">
        <w:rPr>
          <w:rFonts w:eastAsia="Calibri"/>
          <w:b/>
          <w:color w:val="000000"/>
          <w:sz w:val="20"/>
          <w:lang w:bidi="ar-SA"/>
        </w:rPr>
        <w:t xml:space="preserve"> в однократном размере согласно тарифам. </w:t>
      </w:r>
    </w:p>
    <w:p w:rsidR="00395902" w:rsidRPr="00FE5CA5" w:rsidRDefault="00395902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lang w:bidi="ar-SA"/>
        </w:rPr>
      </w:pPr>
    </w:p>
    <w:p w:rsidR="00395902" w:rsidRPr="00FE5CA5" w:rsidRDefault="00D33027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u w:val="single"/>
        </w:rPr>
      </w:pPr>
      <w:r>
        <w:rPr>
          <w:rFonts w:eastAsia="Calibri"/>
          <w:b/>
          <w:color w:val="000000"/>
          <w:sz w:val="20"/>
          <w:u w:val="single"/>
        </w:rPr>
        <w:t xml:space="preserve">Тарифы ФШР </w:t>
      </w:r>
      <w:r w:rsidR="00395902" w:rsidRPr="00FE5CA5">
        <w:rPr>
          <w:rFonts w:eastAsia="Calibri"/>
          <w:b/>
          <w:color w:val="000000"/>
          <w:sz w:val="20"/>
          <w:u w:val="single"/>
        </w:rPr>
        <w:t>не</w:t>
      </w:r>
      <w:r>
        <w:rPr>
          <w:rFonts w:eastAsia="Calibri"/>
          <w:b/>
          <w:color w:val="000000"/>
          <w:sz w:val="20"/>
          <w:u w:val="single"/>
        </w:rPr>
        <w:t xml:space="preserve"> изменяют</w:t>
      </w:r>
      <w:r w:rsidR="00C03D13">
        <w:rPr>
          <w:rFonts w:eastAsia="Calibri"/>
          <w:b/>
          <w:color w:val="000000"/>
          <w:sz w:val="20"/>
          <w:u w:val="single"/>
        </w:rPr>
        <w:t>с</w:t>
      </w:r>
      <w:r>
        <w:rPr>
          <w:rFonts w:eastAsia="Calibri"/>
          <w:b/>
          <w:color w:val="000000"/>
          <w:sz w:val="20"/>
          <w:u w:val="single"/>
        </w:rPr>
        <w:t>я</w:t>
      </w:r>
      <w:r w:rsidR="00395902" w:rsidRPr="00FE5CA5">
        <w:rPr>
          <w:rFonts w:eastAsia="Calibri"/>
          <w:b/>
          <w:color w:val="000000"/>
          <w:sz w:val="20"/>
          <w:u w:val="single"/>
        </w:rPr>
        <w:t>.</w:t>
      </w:r>
    </w:p>
    <w:p w:rsidR="00395902" w:rsidRPr="00FE5CA5" w:rsidRDefault="00395902" w:rsidP="00FE5CA5">
      <w:pPr>
        <w:widowControl/>
        <w:autoSpaceDE/>
        <w:autoSpaceDN/>
        <w:spacing w:line="259" w:lineRule="auto"/>
        <w:ind w:left="259"/>
        <w:jc w:val="both"/>
        <w:rPr>
          <w:rFonts w:eastAsia="Calibri"/>
          <w:b/>
          <w:color w:val="000000"/>
          <w:sz w:val="20"/>
          <w:lang w:bidi="ar-SA"/>
        </w:rPr>
      </w:pPr>
    </w:p>
    <w:p w:rsidR="00D77CF0" w:rsidRPr="00FE5CA5" w:rsidRDefault="00D77CF0" w:rsidP="00FE5CA5">
      <w:pPr>
        <w:widowControl/>
        <w:numPr>
          <w:ilvl w:val="0"/>
          <w:numId w:val="14"/>
        </w:numPr>
        <w:autoSpaceDE/>
        <w:autoSpaceDN/>
        <w:spacing w:after="25" w:line="259" w:lineRule="auto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b/>
          <w:color w:val="000000"/>
          <w:sz w:val="24"/>
          <w:lang w:bidi="ar-SA"/>
        </w:rPr>
        <w:t xml:space="preserve">ПРИМЕЧАНИЯ:  </w:t>
      </w:r>
    </w:p>
    <w:p w:rsidR="00D77CF0" w:rsidRPr="00FE5CA5" w:rsidRDefault="00D77CF0" w:rsidP="00FE5CA5">
      <w:pPr>
        <w:widowControl/>
        <w:numPr>
          <w:ilvl w:val="0"/>
          <w:numId w:val="15"/>
        </w:numPr>
        <w:autoSpaceDE/>
        <w:autoSpaceDN/>
        <w:spacing w:after="39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необходимо публиковать итоговые отчёты о проведении турнира на официальном сайте турнира, который указывается в бланке предварительной регистрации турнира.  </w:t>
      </w:r>
    </w:p>
    <w:p w:rsidR="00D77CF0" w:rsidRPr="00FE5CA5" w:rsidRDefault="00D77CF0" w:rsidP="00FE5CA5">
      <w:pPr>
        <w:widowControl/>
        <w:numPr>
          <w:ilvl w:val="0"/>
          <w:numId w:val="15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данные отчёта (название турнира, место и сроки проведения, и прочее) должны быть идентичными во всех отчётных документах (регистрационная карточка, турнирная таблица, жеребьевочный файл, квитанция о взносе за регистрацию турнира в ФИДЕ).  </w:t>
      </w:r>
    </w:p>
    <w:p w:rsidR="00D77CF0" w:rsidRPr="00FE5CA5" w:rsidRDefault="00D77CF0" w:rsidP="00FE5CA5">
      <w:pPr>
        <w:widowControl/>
        <w:autoSpaceDE/>
        <w:autoSpaceDN/>
        <w:spacing w:after="71" w:line="239" w:lineRule="auto"/>
        <w:ind w:left="259" w:right="28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lang w:bidi="ar-SA"/>
        </w:rPr>
        <w:t xml:space="preserve">при сдаче отчёта в ФИДЕ позднее 30 и 60 дней с даты окончания турнира организаторы обязаны через бухгалтерию ФШР заплатить штраф в ФИДЕ согласно пункту 5 </w:t>
      </w:r>
      <w:hyperlink r:id="rId39">
        <w:r w:rsidRPr="00FE5CA5">
          <w:rPr>
            <w:rFonts w:eastAsia="Calibri"/>
            <w:color w:val="0000FF"/>
            <w:u w:val="single" w:color="0000FF"/>
            <w:lang w:bidi="ar-SA"/>
          </w:rPr>
          <w:t>https://ruchess.ru/downloads/2019/annex_decision_2.pdf</w:t>
        </w:r>
      </w:hyperlink>
      <w:hyperlink r:id="rId40">
        <w:r w:rsidRPr="00FE5CA5">
          <w:rPr>
            <w:rFonts w:eastAsia="Calibri"/>
            <w:color w:val="000000"/>
            <w:sz w:val="20"/>
            <w:lang w:bidi="ar-SA"/>
          </w:rPr>
          <w:t xml:space="preserve"> </w:t>
        </w:r>
      </w:hyperlink>
    </w:p>
    <w:p w:rsidR="00D77CF0" w:rsidRPr="00FE5CA5" w:rsidRDefault="00D77CF0" w:rsidP="00FE5CA5">
      <w:pPr>
        <w:widowControl/>
        <w:numPr>
          <w:ilvl w:val="0"/>
          <w:numId w:val="15"/>
        </w:numPr>
        <w:autoSpaceDE/>
        <w:autoSpaceDN/>
        <w:spacing w:after="39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организаторы обязаны хранить оригиналы бланков партий турнира с нормой международного звания в течение одного года с момента его окончания. ФШР оставляет за собой право проводить инспекцию шахматных турниров, а также востребовать оригиналы бланков партий, а организаторы обязаны их предоставить по первому требованию. Ответственность за хранение оригиналов бланков партий лежит на региональных федерациях шахмат. </w:t>
      </w:r>
    </w:p>
    <w:p w:rsidR="00D77CF0" w:rsidRPr="00FE5CA5" w:rsidRDefault="00D77CF0" w:rsidP="00FE5CA5">
      <w:pPr>
        <w:widowControl/>
        <w:numPr>
          <w:ilvl w:val="0"/>
          <w:numId w:val="15"/>
        </w:numPr>
        <w:autoSpaceDE/>
        <w:autoSpaceDN/>
        <w:spacing w:after="5" w:line="250" w:lineRule="auto"/>
        <w:ind w:right="53"/>
        <w:jc w:val="both"/>
        <w:rPr>
          <w:rFonts w:eastAsia="Calibri"/>
          <w:color w:val="000000"/>
          <w:sz w:val="24"/>
          <w:lang w:bidi="ar-SA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перед отправкой отчёта в ФШР рекомендуется сделать сверку данных жеребьевочного файла с действующим рейтинг-листом на момент начала турнира. Это позволит исключить ошибки в отчёте, обнаружить возможных «двойников» (шахматистов с идентичным написанием фамилии) и внести данные для нового игрока. </w:t>
      </w:r>
    </w:p>
    <w:p w:rsidR="00D13829" w:rsidRPr="00FE5CA5" w:rsidRDefault="00D77CF0" w:rsidP="00FE5CA5">
      <w:pPr>
        <w:widowControl/>
        <w:numPr>
          <w:ilvl w:val="0"/>
          <w:numId w:val="3"/>
        </w:numPr>
        <w:tabs>
          <w:tab w:val="left" w:pos="316"/>
        </w:tabs>
        <w:autoSpaceDE/>
        <w:autoSpaceDN/>
        <w:spacing w:before="141" w:after="5" w:line="360" w:lineRule="auto"/>
        <w:ind w:right="53"/>
        <w:jc w:val="both"/>
        <w:rPr>
          <w:sz w:val="28"/>
          <w:szCs w:val="28"/>
        </w:rPr>
      </w:pPr>
      <w:r w:rsidRPr="00FE5CA5">
        <w:rPr>
          <w:rFonts w:eastAsia="Calibri"/>
          <w:color w:val="000000"/>
          <w:sz w:val="24"/>
          <w:lang w:bidi="ar-SA"/>
        </w:rPr>
        <w:t xml:space="preserve">после опубликования результатов турнира на сайте </w:t>
      </w:r>
      <w:hyperlink r:id="rId41">
        <w:r w:rsidRPr="00FE5CA5">
          <w:rPr>
            <w:rFonts w:eastAsia="Calibri"/>
            <w:color w:val="0000FF"/>
            <w:sz w:val="24"/>
            <w:u w:val="single" w:color="0000FF"/>
            <w:lang w:bidi="ar-SA"/>
          </w:rPr>
          <w:t>www.fide.com</w:t>
        </w:r>
      </w:hyperlink>
      <w:hyperlink r:id="rId42">
        <w:r w:rsidRPr="00FE5CA5">
          <w:rPr>
            <w:rFonts w:eastAsia="Calibri"/>
            <w:color w:val="000000"/>
            <w:sz w:val="24"/>
            <w:lang w:bidi="ar-SA"/>
          </w:rPr>
          <w:t xml:space="preserve"> </w:t>
        </w:r>
      </w:hyperlink>
      <w:r w:rsidRPr="00FE5CA5">
        <w:rPr>
          <w:rFonts w:eastAsia="Calibri"/>
          <w:color w:val="000000"/>
          <w:sz w:val="24"/>
          <w:lang w:bidi="ar-SA"/>
        </w:rPr>
        <w:t xml:space="preserve">в разделе </w:t>
      </w:r>
      <w:r w:rsidRPr="00FE5CA5">
        <w:rPr>
          <w:rFonts w:eastAsia="Calibri"/>
          <w:b/>
          <w:color w:val="000000"/>
          <w:sz w:val="24"/>
          <w:lang w:bidi="ar-SA"/>
        </w:rPr>
        <w:t xml:space="preserve">tournaments </w:t>
      </w:r>
      <w:r w:rsidRPr="00FE5CA5">
        <w:rPr>
          <w:rFonts w:eastAsia="Calibri"/>
          <w:color w:val="000000"/>
          <w:sz w:val="24"/>
          <w:lang w:bidi="ar-SA"/>
        </w:rPr>
        <w:t xml:space="preserve">(текущие турниры) рекомендуется проверить правильность данных, размещённых на сайте ФИДЕ. В случае обнаружения каких-либо ошибок (искажения результатов и прочее) необходимо немедленно сообщить </w:t>
      </w:r>
      <w:r w:rsidR="00E5663E" w:rsidRPr="00FE5CA5">
        <w:rPr>
          <w:rFonts w:eastAsia="Calibri"/>
          <w:color w:val="000000"/>
          <w:sz w:val="24"/>
          <w:lang w:bidi="ar-SA"/>
        </w:rPr>
        <w:t xml:space="preserve">РАА на адрес электронной почты: </w:t>
      </w:r>
      <w:hyperlink r:id="rId43" w:history="1">
        <w:r w:rsidR="00E5663E" w:rsidRPr="00FE5CA5">
          <w:rPr>
            <w:rStyle w:val="ab"/>
            <w:rFonts w:eastAsia="Calibri"/>
            <w:sz w:val="24"/>
            <w:lang w:val="en-US" w:bidi="ar-SA"/>
          </w:rPr>
          <w:t>yarchessarbiter</w:t>
        </w:r>
        <w:r w:rsidR="00E5663E" w:rsidRPr="00FE5CA5">
          <w:rPr>
            <w:rStyle w:val="ab"/>
            <w:rFonts w:eastAsia="Calibri"/>
            <w:sz w:val="24"/>
            <w:lang w:bidi="ar-SA"/>
          </w:rPr>
          <w:t>@</w:t>
        </w:r>
        <w:r w:rsidR="00E5663E" w:rsidRPr="00FE5CA5">
          <w:rPr>
            <w:rStyle w:val="ab"/>
            <w:rFonts w:eastAsia="Calibri"/>
            <w:sz w:val="24"/>
            <w:lang w:val="en-US" w:bidi="ar-SA"/>
          </w:rPr>
          <w:t>ya</w:t>
        </w:r>
        <w:r w:rsidR="00E5663E" w:rsidRPr="00FE5CA5">
          <w:rPr>
            <w:rStyle w:val="ab"/>
            <w:rFonts w:eastAsia="Calibri"/>
            <w:sz w:val="24"/>
            <w:lang w:bidi="ar-SA"/>
          </w:rPr>
          <w:t>.</w:t>
        </w:r>
        <w:r w:rsidR="00E5663E" w:rsidRPr="00FE5CA5">
          <w:rPr>
            <w:rStyle w:val="ab"/>
            <w:rFonts w:eastAsia="Calibri"/>
            <w:sz w:val="24"/>
            <w:lang w:val="en-US" w:bidi="ar-SA"/>
          </w:rPr>
          <w:t>ru</w:t>
        </w:r>
      </w:hyperlink>
    </w:p>
    <w:sectPr w:rsidR="00D13829" w:rsidRPr="00FE5CA5" w:rsidSect="0053106E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A5" w:rsidRDefault="005736A5" w:rsidP="00DC4676">
      <w:r>
        <w:separator/>
      </w:r>
    </w:p>
  </w:endnote>
  <w:endnote w:type="continuationSeparator" w:id="0">
    <w:p w:rsidR="005736A5" w:rsidRDefault="005736A5" w:rsidP="00D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A5" w:rsidRDefault="005736A5" w:rsidP="00DC4676">
      <w:r>
        <w:separator/>
      </w:r>
    </w:p>
  </w:footnote>
  <w:footnote w:type="continuationSeparator" w:id="0">
    <w:p w:rsidR="005736A5" w:rsidRDefault="005736A5" w:rsidP="00DC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70"/>
    <w:multiLevelType w:val="hybridMultilevel"/>
    <w:tmpl w:val="8218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4E72"/>
    <w:multiLevelType w:val="hybridMultilevel"/>
    <w:tmpl w:val="B144207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6CC57BE"/>
    <w:multiLevelType w:val="hybridMultilevel"/>
    <w:tmpl w:val="98B4D1D2"/>
    <w:lvl w:ilvl="0" w:tplc="DF5C4888">
      <w:start w:val="1"/>
      <w:numFmt w:val="upperRoman"/>
      <w:lvlText w:val="%1.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C95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49B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2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817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8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AD0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F6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4BC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061AED"/>
    <w:multiLevelType w:val="hybridMultilevel"/>
    <w:tmpl w:val="7B3E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514A"/>
    <w:multiLevelType w:val="hybridMultilevel"/>
    <w:tmpl w:val="93DA9E88"/>
    <w:lvl w:ilvl="0" w:tplc="368CE5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09A08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675BE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0CED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041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03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07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812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643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C532E"/>
    <w:multiLevelType w:val="multilevel"/>
    <w:tmpl w:val="9A06543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0E6572"/>
    <w:multiLevelType w:val="hybridMultilevel"/>
    <w:tmpl w:val="03C4D480"/>
    <w:lvl w:ilvl="0" w:tplc="D5CC8BD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C564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DB9C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43E0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4736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F26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083CE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3BB6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446B2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2A1C37"/>
    <w:multiLevelType w:val="hybridMultilevel"/>
    <w:tmpl w:val="5818E65E"/>
    <w:lvl w:ilvl="0" w:tplc="6354207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0B28">
      <w:start w:val="1"/>
      <w:numFmt w:val="bullet"/>
      <w:lvlText w:val="o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03D50">
      <w:start w:val="1"/>
      <w:numFmt w:val="bullet"/>
      <w:lvlText w:val="▪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383A">
      <w:start w:val="1"/>
      <w:numFmt w:val="bullet"/>
      <w:lvlRestart w:val="0"/>
      <w:lvlText w:val="-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2F9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8C0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679A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4A86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B4E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3D530A"/>
    <w:multiLevelType w:val="hybridMultilevel"/>
    <w:tmpl w:val="BD2E38B2"/>
    <w:lvl w:ilvl="0" w:tplc="86F4B0C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08448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7368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4DA1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885C0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C78E8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8CA5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7264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C3B14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F76B2"/>
    <w:multiLevelType w:val="hybridMultilevel"/>
    <w:tmpl w:val="DDE4097A"/>
    <w:lvl w:ilvl="0" w:tplc="05003DF8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0FFA0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E99BC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E83A6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6F0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27952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E0ADA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2C812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41182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500F93"/>
    <w:multiLevelType w:val="multilevel"/>
    <w:tmpl w:val="540E27B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D36E71"/>
    <w:multiLevelType w:val="hybridMultilevel"/>
    <w:tmpl w:val="5A62E576"/>
    <w:lvl w:ilvl="0" w:tplc="5ED8FF0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0D3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F7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6CE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6F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0EF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A45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64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21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A536B"/>
    <w:multiLevelType w:val="hybridMultilevel"/>
    <w:tmpl w:val="13E4555E"/>
    <w:lvl w:ilvl="0" w:tplc="6E9E174A">
      <w:start w:val="1"/>
      <w:numFmt w:val="upperRoman"/>
      <w:lvlText w:val="%1."/>
      <w:lvlJc w:val="left"/>
      <w:pPr>
        <w:ind w:left="315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C088BA5C">
      <w:start w:val="1"/>
      <w:numFmt w:val="decimal"/>
      <w:lvlText w:val="%2."/>
      <w:lvlJc w:val="left"/>
      <w:pPr>
        <w:ind w:left="601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095699B4">
      <w:numFmt w:val="bullet"/>
      <w:lvlText w:val="•"/>
      <w:lvlJc w:val="left"/>
      <w:pPr>
        <w:ind w:left="820" w:hanging="281"/>
      </w:pPr>
      <w:rPr>
        <w:rFonts w:hint="default"/>
        <w:lang w:val="ru-RU" w:eastAsia="ru-RU" w:bidi="ru-RU"/>
      </w:rPr>
    </w:lvl>
    <w:lvl w:ilvl="3" w:tplc="30EAEBC2">
      <w:numFmt w:val="bullet"/>
      <w:lvlText w:val="•"/>
      <w:lvlJc w:val="left"/>
      <w:pPr>
        <w:ind w:left="1913" w:hanging="281"/>
      </w:pPr>
      <w:rPr>
        <w:rFonts w:hint="default"/>
        <w:lang w:val="ru-RU" w:eastAsia="ru-RU" w:bidi="ru-RU"/>
      </w:rPr>
    </w:lvl>
    <w:lvl w:ilvl="4" w:tplc="32DA27DC">
      <w:numFmt w:val="bullet"/>
      <w:lvlText w:val="•"/>
      <w:lvlJc w:val="left"/>
      <w:pPr>
        <w:ind w:left="3006" w:hanging="281"/>
      </w:pPr>
      <w:rPr>
        <w:rFonts w:hint="default"/>
        <w:lang w:val="ru-RU" w:eastAsia="ru-RU" w:bidi="ru-RU"/>
      </w:rPr>
    </w:lvl>
    <w:lvl w:ilvl="5" w:tplc="B166367A">
      <w:numFmt w:val="bullet"/>
      <w:lvlText w:val="•"/>
      <w:lvlJc w:val="left"/>
      <w:pPr>
        <w:ind w:left="4099" w:hanging="281"/>
      </w:pPr>
      <w:rPr>
        <w:rFonts w:hint="default"/>
        <w:lang w:val="ru-RU" w:eastAsia="ru-RU" w:bidi="ru-RU"/>
      </w:rPr>
    </w:lvl>
    <w:lvl w:ilvl="6" w:tplc="3A1EF6E8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7" w:tplc="C3EEFBDA">
      <w:numFmt w:val="bullet"/>
      <w:lvlText w:val="•"/>
      <w:lvlJc w:val="left"/>
      <w:pPr>
        <w:ind w:left="6286" w:hanging="281"/>
      </w:pPr>
      <w:rPr>
        <w:rFonts w:hint="default"/>
        <w:lang w:val="ru-RU" w:eastAsia="ru-RU" w:bidi="ru-RU"/>
      </w:rPr>
    </w:lvl>
    <w:lvl w:ilvl="8" w:tplc="689214FE">
      <w:numFmt w:val="bullet"/>
      <w:lvlText w:val="•"/>
      <w:lvlJc w:val="left"/>
      <w:pPr>
        <w:ind w:left="7379" w:hanging="281"/>
      </w:pPr>
      <w:rPr>
        <w:rFonts w:hint="default"/>
        <w:lang w:val="ru-RU" w:eastAsia="ru-RU" w:bidi="ru-RU"/>
      </w:rPr>
    </w:lvl>
  </w:abstractNum>
  <w:abstractNum w:abstractNumId="14">
    <w:nsid w:val="70177BAE"/>
    <w:multiLevelType w:val="hybridMultilevel"/>
    <w:tmpl w:val="0E36B362"/>
    <w:lvl w:ilvl="0" w:tplc="364A100E">
      <w:start w:val="4"/>
      <w:numFmt w:val="upperRoman"/>
      <w:lvlText w:val="%1."/>
      <w:lvlJc w:val="left"/>
      <w:pPr>
        <w:ind w:left="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8F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A6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2F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C13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E2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F6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E8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DA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7451FF"/>
    <w:multiLevelType w:val="hybridMultilevel"/>
    <w:tmpl w:val="EC02CEEE"/>
    <w:lvl w:ilvl="0" w:tplc="073ABA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A54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42D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044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3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71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074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8A8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AE7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9"/>
    <w:rsid w:val="0008613A"/>
    <w:rsid w:val="0009593C"/>
    <w:rsid w:val="000E346C"/>
    <w:rsid w:val="000E69C3"/>
    <w:rsid w:val="00170706"/>
    <w:rsid w:val="00177E9D"/>
    <w:rsid w:val="001A57C7"/>
    <w:rsid w:val="001E7395"/>
    <w:rsid w:val="00202E93"/>
    <w:rsid w:val="002101D0"/>
    <w:rsid w:val="002272F3"/>
    <w:rsid w:val="00253CB4"/>
    <w:rsid w:val="002C321A"/>
    <w:rsid w:val="00374C6A"/>
    <w:rsid w:val="00395902"/>
    <w:rsid w:val="003D5E3A"/>
    <w:rsid w:val="004216B5"/>
    <w:rsid w:val="00427F1B"/>
    <w:rsid w:val="00441474"/>
    <w:rsid w:val="00486682"/>
    <w:rsid w:val="00494C04"/>
    <w:rsid w:val="00495CF6"/>
    <w:rsid w:val="004F1D82"/>
    <w:rsid w:val="00523723"/>
    <w:rsid w:val="005240F0"/>
    <w:rsid w:val="0053106E"/>
    <w:rsid w:val="00541BF3"/>
    <w:rsid w:val="005622F3"/>
    <w:rsid w:val="005679A4"/>
    <w:rsid w:val="005736A5"/>
    <w:rsid w:val="00574703"/>
    <w:rsid w:val="005816F9"/>
    <w:rsid w:val="00594F72"/>
    <w:rsid w:val="005C0EA5"/>
    <w:rsid w:val="005E4D98"/>
    <w:rsid w:val="006548D9"/>
    <w:rsid w:val="00661655"/>
    <w:rsid w:val="00667178"/>
    <w:rsid w:val="00670100"/>
    <w:rsid w:val="0068767F"/>
    <w:rsid w:val="006D046B"/>
    <w:rsid w:val="006D410C"/>
    <w:rsid w:val="006E4609"/>
    <w:rsid w:val="007040A1"/>
    <w:rsid w:val="00756646"/>
    <w:rsid w:val="00785C63"/>
    <w:rsid w:val="007E3FB1"/>
    <w:rsid w:val="007E5EE4"/>
    <w:rsid w:val="00842FA6"/>
    <w:rsid w:val="00853410"/>
    <w:rsid w:val="00881B37"/>
    <w:rsid w:val="008925EE"/>
    <w:rsid w:val="008E0335"/>
    <w:rsid w:val="00927AB8"/>
    <w:rsid w:val="009641BD"/>
    <w:rsid w:val="009B4C6E"/>
    <w:rsid w:val="009E67FE"/>
    <w:rsid w:val="00A17892"/>
    <w:rsid w:val="00A22329"/>
    <w:rsid w:val="00A32024"/>
    <w:rsid w:val="00AC7823"/>
    <w:rsid w:val="00B11E9E"/>
    <w:rsid w:val="00B62D37"/>
    <w:rsid w:val="00BD5A62"/>
    <w:rsid w:val="00C03D13"/>
    <w:rsid w:val="00C15A3D"/>
    <w:rsid w:val="00C15F76"/>
    <w:rsid w:val="00C211D6"/>
    <w:rsid w:val="00C31B7B"/>
    <w:rsid w:val="00C5185A"/>
    <w:rsid w:val="00C52979"/>
    <w:rsid w:val="00C67FF7"/>
    <w:rsid w:val="00C82D6E"/>
    <w:rsid w:val="00CB46D1"/>
    <w:rsid w:val="00CE1927"/>
    <w:rsid w:val="00CE374A"/>
    <w:rsid w:val="00CF0474"/>
    <w:rsid w:val="00CF2A20"/>
    <w:rsid w:val="00D13829"/>
    <w:rsid w:val="00D33027"/>
    <w:rsid w:val="00D64F42"/>
    <w:rsid w:val="00D77CF0"/>
    <w:rsid w:val="00DB33A6"/>
    <w:rsid w:val="00DC4676"/>
    <w:rsid w:val="00DD2686"/>
    <w:rsid w:val="00DD7800"/>
    <w:rsid w:val="00E151EB"/>
    <w:rsid w:val="00E5663E"/>
    <w:rsid w:val="00E64B60"/>
    <w:rsid w:val="00E65E89"/>
    <w:rsid w:val="00E748B8"/>
    <w:rsid w:val="00EA60F5"/>
    <w:rsid w:val="00EA7D16"/>
    <w:rsid w:val="00ED079D"/>
    <w:rsid w:val="00EE3658"/>
    <w:rsid w:val="00EE57C7"/>
    <w:rsid w:val="00F05521"/>
    <w:rsid w:val="00F3034E"/>
    <w:rsid w:val="00F31788"/>
    <w:rsid w:val="00F53E12"/>
    <w:rsid w:val="00F62C04"/>
    <w:rsid w:val="00FC3456"/>
    <w:rsid w:val="00FE0BDE"/>
    <w:rsid w:val="00FE5CA5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9CF26-3A5B-4CAE-BE1C-79140F73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106E"/>
    <w:pPr>
      <w:spacing w:line="274" w:lineRule="exact"/>
      <w:ind w:left="315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06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106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53106E"/>
  </w:style>
  <w:style w:type="paragraph" w:styleId="a5">
    <w:name w:val="header"/>
    <w:basedOn w:val="a"/>
    <w:link w:val="a6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C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7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D2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8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A22329"/>
    <w:rPr>
      <w:color w:val="0000FF" w:themeColor="hyperlink"/>
      <w:u w:val="single"/>
    </w:rPr>
  </w:style>
  <w:style w:type="table" w:customStyle="1" w:styleId="TableGrid">
    <w:name w:val="TableGrid"/>
    <w:rsid w:val="00D77CF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chess.ru/federation/regional_federations/" TargetMode="External"/><Relationship Id="rId18" Type="http://schemas.openxmlformats.org/officeDocument/2006/relationships/hyperlink" Target="https://www.fide.com/fide/handbook" TargetMode="External"/><Relationship Id="rId26" Type="http://schemas.openxmlformats.org/officeDocument/2006/relationships/hyperlink" Target="https://ruchess.ru/upload/iblock/abd/abdc34cd3282e2bce38bf25394762b88.doc" TargetMode="External"/><Relationship Id="rId39" Type="http://schemas.openxmlformats.org/officeDocument/2006/relationships/hyperlink" Target="https://ruchess.ru/downloads/2019/annex_decision_2.pdf" TargetMode="External"/><Relationship Id="rId21" Type="http://schemas.openxmlformats.org/officeDocument/2006/relationships/hyperlink" Target="https://www.fide.com/fide/handbook" TargetMode="External"/><Relationship Id="rId34" Type="http://schemas.openxmlformats.org/officeDocument/2006/relationships/hyperlink" Target="http://ruchess.ru/federation/contacts/" TargetMode="External"/><Relationship Id="rId42" Type="http://schemas.openxmlformats.org/officeDocument/2006/relationships/hyperlink" Target="http://www.fide.com/" TargetMode="External"/><Relationship Id="rId7" Type="http://schemas.openxmlformats.org/officeDocument/2006/relationships/hyperlink" Target="http://ruchess.ru/federation/regional_feder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de.com/fide/handbook" TargetMode="External"/><Relationship Id="rId29" Type="http://schemas.openxmlformats.org/officeDocument/2006/relationships/hyperlink" Target="https://ruchess.ru/upload/iblock/08c/08c733b06504d6b6d80bdf2bbbb44f94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upload/iblock/6c6/6c67308d6af351db00bcdc29195f3fc2.doc" TargetMode="External"/><Relationship Id="rId24" Type="http://schemas.openxmlformats.org/officeDocument/2006/relationships/hyperlink" Target="https://ruchess.ru/upload/iblock/6c6/6c67308d6af351db00bcdc29195f3fc2.doc" TargetMode="External"/><Relationship Id="rId32" Type="http://schemas.openxmlformats.org/officeDocument/2006/relationships/hyperlink" Target="https://handbook.fide.com/chapter/B032015" TargetMode="External"/><Relationship Id="rId37" Type="http://schemas.openxmlformats.org/officeDocument/2006/relationships/hyperlink" Target="https://ruchess.ru/downloads/2019/annex_decision_2.pdf" TargetMode="External"/><Relationship Id="rId40" Type="http://schemas.openxmlformats.org/officeDocument/2006/relationships/hyperlink" Target="https://ruchess.ru/downloads/2019/annex_decision_2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ide.com/" TargetMode="External"/><Relationship Id="rId23" Type="http://schemas.openxmlformats.org/officeDocument/2006/relationships/hyperlink" Target="https://ruchess.ru/upload/iblock/6c6/6c67308d6af351db00bcdc29195f3fc2.doc" TargetMode="External"/><Relationship Id="rId28" Type="http://schemas.openxmlformats.org/officeDocument/2006/relationships/hyperlink" Target="https://ruchess.ru/upload/iblock/08c/08c733b06504d6b6d80bdf2bbbb44f94.docx" TargetMode="External"/><Relationship Id="rId36" Type="http://schemas.openxmlformats.org/officeDocument/2006/relationships/hyperlink" Target="https://ruchess.ru/downloads/2019/annex_decision_2.pdf" TargetMode="External"/><Relationship Id="rId10" Type="http://schemas.openxmlformats.org/officeDocument/2006/relationships/hyperlink" Target="https://ruchess.ru/upload/iblock/6c6/6c67308d6af351db00bcdc29195f3fc2.doc" TargetMode="External"/><Relationship Id="rId19" Type="http://schemas.openxmlformats.org/officeDocument/2006/relationships/hyperlink" Target="https://www.fide.com/fide/handbook" TargetMode="External"/><Relationship Id="rId31" Type="http://schemas.openxmlformats.org/officeDocument/2006/relationships/hyperlink" Target="https://handbook.fide.com/chapter/B03201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chessarbiter@ya.ru" TargetMode="External"/><Relationship Id="rId14" Type="http://schemas.openxmlformats.org/officeDocument/2006/relationships/hyperlink" Target="http://www.fide.com/" TargetMode="External"/><Relationship Id="rId22" Type="http://schemas.openxmlformats.org/officeDocument/2006/relationships/hyperlink" Target="https://ruchess.ru/upload/iblock/6c6/6c67308d6af351db00bcdc29195f3fc2.doc" TargetMode="External"/><Relationship Id="rId27" Type="http://schemas.openxmlformats.org/officeDocument/2006/relationships/hyperlink" Target="https://ruchess.ru/upload/iblock/abd/abdc34cd3282e2bce38bf25394762b88.doc" TargetMode="External"/><Relationship Id="rId30" Type="http://schemas.openxmlformats.org/officeDocument/2006/relationships/hyperlink" Target="https://ruchess.ru/upload/iblock/08c/08c733b06504d6b6d80bdf2bbbb44f94.docx" TargetMode="External"/><Relationship Id="rId35" Type="http://schemas.openxmlformats.org/officeDocument/2006/relationships/hyperlink" Target="http://ruchess.ru/federation/contacts/" TargetMode="External"/><Relationship Id="rId43" Type="http://schemas.openxmlformats.org/officeDocument/2006/relationships/hyperlink" Target="mailto:yarchessarbiter@ya.ru" TargetMode="External"/><Relationship Id="rId8" Type="http://schemas.openxmlformats.org/officeDocument/2006/relationships/hyperlink" Target="http://ruchess.ru/federation/regional_federatio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chess.ru/upload/iblock/6c6/6c67308d6af351db00bcdc29195f3fc2.doc" TargetMode="External"/><Relationship Id="rId17" Type="http://schemas.openxmlformats.org/officeDocument/2006/relationships/hyperlink" Target="https://www.fide.com/fide/handbook" TargetMode="External"/><Relationship Id="rId25" Type="http://schemas.openxmlformats.org/officeDocument/2006/relationships/hyperlink" Target="https://ruchess.ru/upload/iblock/abd/abdc34cd3282e2bce38bf25394762b88.doc" TargetMode="External"/><Relationship Id="rId33" Type="http://schemas.openxmlformats.org/officeDocument/2006/relationships/hyperlink" Target="https://handbook.fide.com/chapter/B032015" TargetMode="External"/><Relationship Id="rId38" Type="http://schemas.openxmlformats.org/officeDocument/2006/relationships/hyperlink" Target="mailto:yarchessarbiter@ya.ru" TargetMode="External"/><Relationship Id="rId20" Type="http://schemas.openxmlformats.org/officeDocument/2006/relationships/hyperlink" Target="https://www.fide.com/fide/handbook" TargetMode="External"/><Relationship Id="rId41" Type="http://schemas.openxmlformats.org/officeDocument/2006/relationships/hyperlink" Target="http://www.f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Филиппов</dc:creator>
  <cp:lastModifiedBy>Пользователь</cp:lastModifiedBy>
  <cp:revision>2</cp:revision>
  <dcterms:created xsi:type="dcterms:W3CDTF">2021-06-21T06:32:00Z</dcterms:created>
  <dcterms:modified xsi:type="dcterms:W3CDTF">2021-06-21T06:32:00Z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