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443EA3" w:rsidRPr="00A40DA0" w:rsidTr="00A40DA0"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bCs/>
                <w:szCs w:val="28"/>
              </w:rPr>
              <w:t>«</w:t>
            </w:r>
            <w:r w:rsidR="003B4C7A">
              <w:rPr>
                <w:b/>
                <w:bCs/>
                <w:szCs w:val="28"/>
              </w:rPr>
              <w:t>УТВЕРЖДАЮ</w:t>
            </w:r>
            <w:r w:rsidRPr="00A40DA0">
              <w:rPr>
                <w:b/>
                <w:bCs/>
                <w:szCs w:val="28"/>
              </w:rPr>
              <w:t xml:space="preserve">»          </w:t>
            </w:r>
            <w:r w:rsidRPr="00A40DA0">
              <w:rPr>
                <w:b/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bCs/>
                <w:szCs w:val="28"/>
              </w:rPr>
              <w:t>Председатель Правления</w:t>
            </w:r>
            <w:r w:rsidRPr="00A40DA0">
              <w:rPr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szCs w:val="28"/>
              </w:rPr>
              <w:t xml:space="preserve">РОО «Спортивная         федерация                                                      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 xml:space="preserve">шахмат Ярославской области.                         </w:t>
            </w:r>
          </w:p>
          <w:p w:rsidR="00443EA3" w:rsidRPr="00A40DA0" w:rsidRDefault="00443EA3" w:rsidP="00A40DA0">
            <w:pPr>
              <w:jc w:val="center"/>
              <w:rPr>
                <w:b/>
                <w:bCs/>
                <w:szCs w:val="28"/>
              </w:rPr>
            </w:pP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______________  </w:t>
            </w:r>
            <w:r w:rsidR="00B1414C">
              <w:rPr>
                <w:bCs/>
                <w:szCs w:val="28"/>
              </w:rPr>
              <w:t>А.</w:t>
            </w:r>
            <w:r w:rsidRPr="00A40DA0">
              <w:rPr>
                <w:bCs/>
                <w:szCs w:val="28"/>
              </w:rPr>
              <w:t>С. Москвин</w:t>
            </w:r>
            <w:r w:rsidRPr="00A40DA0">
              <w:rPr>
                <w:b/>
                <w:bCs/>
                <w:szCs w:val="28"/>
              </w:rPr>
              <w:t xml:space="preserve">  </w:t>
            </w:r>
            <w:r w:rsidRPr="00A40DA0">
              <w:rPr>
                <w:szCs w:val="28"/>
              </w:rPr>
              <w:t xml:space="preserve">                  </w:t>
            </w:r>
          </w:p>
        </w:tc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szCs w:val="28"/>
              </w:rPr>
              <w:t>«УТВЕРЖДАЮ»</w:t>
            </w:r>
          </w:p>
          <w:p w:rsidR="00443EA3" w:rsidRPr="00A40DA0" w:rsidRDefault="00F6716F" w:rsidP="00722DD9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443EA3" w:rsidRPr="00A40DA0">
              <w:rPr>
                <w:szCs w:val="28"/>
              </w:rPr>
              <w:t xml:space="preserve"> департамента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по физической культуре, спорту и молодежной политике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Ярославской области</w:t>
            </w:r>
          </w:p>
          <w:p w:rsidR="00443EA3" w:rsidRPr="00A40DA0" w:rsidRDefault="00443EA3" w:rsidP="00A40DA0">
            <w:pPr>
              <w:jc w:val="center"/>
              <w:rPr>
                <w:szCs w:val="28"/>
              </w:rPr>
            </w:pPr>
            <w:r w:rsidRPr="00A40DA0">
              <w:rPr>
                <w:szCs w:val="28"/>
              </w:rPr>
              <w:t xml:space="preserve">_________________  </w:t>
            </w:r>
            <w:r w:rsidR="002B1B2A">
              <w:rPr>
                <w:szCs w:val="28"/>
              </w:rPr>
              <w:t>С</w:t>
            </w:r>
            <w:r w:rsidRPr="00A40DA0">
              <w:rPr>
                <w:szCs w:val="28"/>
              </w:rPr>
              <w:t>.</w:t>
            </w:r>
            <w:r w:rsidR="002B1B2A">
              <w:rPr>
                <w:szCs w:val="28"/>
              </w:rPr>
              <w:t>А</w:t>
            </w:r>
            <w:r w:rsidRPr="00A40DA0">
              <w:rPr>
                <w:szCs w:val="28"/>
              </w:rPr>
              <w:t>.</w:t>
            </w:r>
            <w:r w:rsidR="00F52379">
              <w:rPr>
                <w:szCs w:val="28"/>
              </w:rPr>
              <w:t xml:space="preserve"> </w:t>
            </w:r>
            <w:r w:rsidR="002B1B2A">
              <w:rPr>
                <w:szCs w:val="28"/>
              </w:rPr>
              <w:t>Панчишный</w:t>
            </w: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</w:p>
        </w:tc>
      </w:tr>
    </w:tbl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D8580D" w:rsidRPr="00D8580D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19342A">
        <w:rPr>
          <w:szCs w:val="28"/>
        </w:rPr>
        <w:t>1</w:t>
      </w:r>
      <w:bookmarkStart w:id="0" w:name="_GoBack"/>
      <w:bookmarkEnd w:id="0"/>
      <w:r w:rsidR="00D8580D" w:rsidRPr="00D8580D">
        <w:rPr>
          <w:szCs w:val="28"/>
        </w:rPr>
        <w:t xml:space="preserve"> этапа Открытого Кубка Ярославской области </w:t>
      </w:r>
    </w:p>
    <w:p w:rsidR="006F782F" w:rsidRPr="00722DD9" w:rsidRDefault="00D8580D" w:rsidP="00D8580D">
      <w:pPr>
        <w:shd w:val="clear" w:color="auto" w:fill="FFFFFF"/>
        <w:jc w:val="center"/>
        <w:rPr>
          <w:b/>
          <w:szCs w:val="28"/>
        </w:rPr>
      </w:pPr>
      <w:r w:rsidRPr="00D8580D">
        <w:rPr>
          <w:szCs w:val="28"/>
        </w:rPr>
        <w:t>по быстрым шахматам.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Областные соревнования по шахматам  (далее - Соревнование) проводится в соответствии: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05D87" w:rsidRDefault="00B05D87" w:rsidP="00F61547">
      <w:pPr>
        <w:ind w:firstLine="567"/>
        <w:jc w:val="both"/>
        <w:rPr>
          <w:szCs w:val="28"/>
        </w:rPr>
      </w:pPr>
      <w:r>
        <w:rPr>
          <w:szCs w:val="28"/>
        </w:rPr>
        <w:t>- с п</w:t>
      </w:r>
      <w:r w:rsidR="00F61547">
        <w:rPr>
          <w:szCs w:val="28"/>
        </w:rPr>
        <w:t>равилами вида спорта «шахматы», у</w:t>
      </w:r>
      <w:r w:rsidR="00F61547" w:rsidRPr="00F61547">
        <w:rPr>
          <w:szCs w:val="28"/>
        </w:rPr>
        <w:t>твержде</w:t>
      </w:r>
      <w:r w:rsidR="00ED36BD">
        <w:rPr>
          <w:szCs w:val="28"/>
        </w:rPr>
        <w:t>н</w:t>
      </w:r>
      <w:r w:rsidR="00F61547" w:rsidRPr="00F61547">
        <w:rPr>
          <w:szCs w:val="28"/>
        </w:rPr>
        <w:t>ны</w:t>
      </w:r>
      <w:r w:rsidR="00F61547">
        <w:rPr>
          <w:szCs w:val="28"/>
        </w:rPr>
        <w:t>м</w:t>
      </w:r>
      <w:r w:rsidR="00F61547" w:rsidRPr="00F61547">
        <w:rPr>
          <w:szCs w:val="28"/>
        </w:rPr>
        <w:t xml:space="preserve"> приказом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Министерства спорта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Российской Федерации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от 17 июля 2017 г. № 654,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в редакции приказа Минспорта России от 19 декабря 2017 г. № 1087</w:t>
      </w:r>
      <w:r w:rsidR="00F61547">
        <w:rPr>
          <w:szCs w:val="28"/>
        </w:rPr>
        <w:t>, не противоречащим Правилам</w:t>
      </w:r>
      <w:r w:rsidR="00F61547" w:rsidRPr="00F61547">
        <w:rPr>
          <w:szCs w:val="28"/>
        </w:rPr>
        <w:t xml:space="preserve"> шахмат ФИДЕ</w:t>
      </w:r>
      <w:r w:rsidR="00F61547">
        <w:rPr>
          <w:szCs w:val="28"/>
        </w:rPr>
        <w:t>.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812BD" w:rsidRPr="009812BD">
        <w:rPr>
          <w:szCs w:val="28"/>
        </w:rPr>
        <w:t>календарным планом проведения областных физкультурных и спортивных мероприятий на территории 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Высшей лиге </w:t>
      </w:r>
      <w:r w:rsidR="00ED36BD">
        <w:rPr>
          <w:color w:val="auto"/>
          <w:sz w:val="28"/>
          <w:szCs w:val="28"/>
        </w:rPr>
        <w:t>2</w:t>
      </w:r>
      <w:r w:rsidR="00780698" w:rsidRPr="00780698">
        <w:rPr>
          <w:color w:val="auto"/>
          <w:sz w:val="28"/>
          <w:szCs w:val="28"/>
        </w:rPr>
        <w:t xml:space="preserve"> этапа Кубка Ярославской области по быстрым шахматам</w:t>
      </w:r>
      <w:r w:rsidRPr="000E5FA1">
        <w:rPr>
          <w:color w:val="auto"/>
          <w:sz w:val="28"/>
          <w:szCs w:val="28"/>
        </w:rPr>
        <w:t>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42842" w:rsidRPr="001C324F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05D87">
        <w:rPr>
          <w:color w:val="auto"/>
          <w:sz w:val="28"/>
          <w:szCs w:val="28"/>
        </w:rPr>
        <w:t>департамент по физической культуре, спорту и молодёжной политике</w:t>
      </w:r>
      <w:r w:rsidR="00211A4C" w:rsidRPr="00211A4C">
        <w:rPr>
          <w:color w:val="auto"/>
          <w:sz w:val="28"/>
          <w:szCs w:val="28"/>
        </w:rPr>
        <w:t xml:space="preserve">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ГУ ЯО </w:t>
      </w:r>
      <w:r w:rsidR="00B05D87">
        <w:rPr>
          <w:color w:val="auto"/>
          <w:sz w:val="28"/>
          <w:szCs w:val="28"/>
        </w:rPr>
        <w:t>Р</w:t>
      </w:r>
      <w:r w:rsidR="00780698" w:rsidRPr="00780698">
        <w:rPr>
          <w:color w:val="auto"/>
          <w:sz w:val="28"/>
          <w:szCs w:val="28"/>
        </w:rPr>
        <w:t>ЦСП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80345C">
        <w:rPr>
          <w:color w:val="auto"/>
          <w:sz w:val="28"/>
          <w:szCs w:val="28"/>
        </w:rPr>
        <w:t>ССВК, Мокшанова Наталья Николаевна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9F5D63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211A4C">
        <w:rPr>
          <w:szCs w:val="28"/>
        </w:rPr>
        <w:t xml:space="preserve"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Pr="00211A4C">
        <w:rPr>
          <w:szCs w:val="28"/>
        </w:rPr>
        <w:lastRenderedPageBreak/>
        <w:t>и безопасности участников и зрителей (Постановление Правительства Российской Федерации от 18 апреля 2014 г. № 353).</w:t>
      </w:r>
    </w:p>
    <w:p w:rsidR="009F5D63" w:rsidRPr="004774D6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9F5D63" w:rsidRPr="004774D6" w:rsidRDefault="009F5D63" w:rsidP="009F5D63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F5D63" w:rsidRPr="004774D6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F5D63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>
        <w:rPr>
          <w:szCs w:val="28"/>
        </w:rPr>
        <w:t>существляются не ранее чем за 10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193E79" w:rsidRDefault="00211A4C" w:rsidP="00193E7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D56D42">
        <w:rPr>
          <w:color w:val="auto"/>
          <w:sz w:val="28"/>
          <w:szCs w:val="28"/>
        </w:rPr>
        <w:t>24</w:t>
      </w:r>
      <w:r w:rsidR="0080345C">
        <w:rPr>
          <w:color w:val="auto"/>
          <w:sz w:val="28"/>
          <w:szCs w:val="28"/>
        </w:rPr>
        <w:t xml:space="preserve"> </w:t>
      </w:r>
      <w:r w:rsidR="00D56D42">
        <w:rPr>
          <w:color w:val="auto"/>
          <w:sz w:val="28"/>
          <w:szCs w:val="28"/>
        </w:rPr>
        <w:t>февраля</w:t>
      </w:r>
      <w:r w:rsidR="00780698" w:rsidRPr="00780698">
        <w:rPr>
          <w:color w:val="auto"/>
          <w:sz w:val="28"/>
          <w:szCs w:val="28"/>
        </w:rPr>
        <w:t xml:space="preserve"> 201</w:t>
      </w:r>
      <w:r w:rsidR="00D56D42">
        <w:rPr>
          <w:color w:val="auto"/>
          <w:sz w:val="28"/>
          <w:szCs w:val="28"/>
        </w:rPr>
        <w:t>9</w:t>
      </w:r>
      <w:r w:rsidR="00780698" w:rsidRPr="00780698">
        <w:rPr>
          <w:color w:val="auto"/>
          <w:sz w:val="28"/>
          <w:szCs w:val="28"/>
        </w:rPr>
        <w:t xml:space="preserve">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>г. Ярославл</w:t>
      </w:r>
      <w:r w:rsidR="000E5FA1">
        <w:rPr>
          <w:color w:val="auto"/>
          <w:sz w:val="28"/>
          <w:szCs w:val="28"/>
        </w:rPr>
        <w:t xml:space="preserve">ь, </w:t>
      </w:r>
      <w:r w:rsidR="001F04DE">
        <w:rPr>
          <w:color w:val="auto"/>
          <w:sz w:val="28"/>
          <w:szCs w:val="28"/>
        </w:rPr>
        <w:t xml:space="preserve"> </w:t>
      </w:r>
      <w:r w:rsidR="000E5FA1" w:rsidRPr="000E5FA1">
        <w:rPr>
          <w:color w:val="auto"/>
          <w:sz w:val="28"/>
          <w:szCs w:val="28"/>
        </w:rPr>
        <w:t>проспект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311FAD" w:rsidRDefault="00780698" w:rsidP="00D56D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</w:t>
      </w:r>
      <w:r w:rsidR="00D56D42">
        <w:rPr>
          <w:color w:val="auto"/>
          <w:sz w:val="28"/>
          <w:szCs w:val="28"/>
        </w:rPr>
        <w:t>24 февраля</w:t>
      </w:r>
      <w:r w:rsidR="00193E79">
        <w:rPr>
          <w:color w:val="auto"/>
          <w:sz w:val="28"/>
          <w:szCs w:val="28"/>
        </w:rPr>
        <w:t xml:space="preserve"> 1</w:t>
      </w:r>
      <w:r w:rsidR="00D56D42">
        <w:rPr>
          <w:color w:val="auto"/>
          <w:sz w:val="28"/>
          <w:szCs w:val="28"/>
        </w:rPr>
        <w:t>0</w:t>
      </w:r>
      <w:r w:rsidR="00193E79">
        <w:rPr>
          <w:color w:val="auto"/>
          <w:sz w:val="28"/>
          <w:szCs w:val="28"/>
        </w:rPr>
        <w:t>.00-1</w:t>
      </w:r>
      <w:r w:rsidR="00D56D42">
        <w:rPr>
          <w:color w:val="auto"/>
          <w:sz w:val="28"/>
          <w:szCs w:val="28"/>
        </w:rPr>
        <w:t>0</w:t>
      </w:r>
      <w:r w:rsidR="00193E79">
        <w:rPr>
          <w:color w:val="auto"/>
          <w:sz w:val="28"/>
          <w:szCs w:val="28"/>
        </w:rPr>
        <w:t>.</w:t>
      </w:r>
      <w:r w:rsidR="00D56D42">
        <w:rPr>
          <w:color w:val="auto"/>
          <w:sz w:val="28"/>
          <w:szCs w:val="28"/>
        </w:rPr>
        <w:t>45</w:t>
      </w:r>
      <w:r w:rsidR="00193E79">
        <w:rPr>
          <w:color w:val="auto"/>
          <w:sz w:val="28"/>
          <w:szCs w:val="28"/>
        </w:rPr>
        <w:t xml:space="preserve">                                        </w:t>
      </w:r>
    </w:p>
    <w:p w:rsidR="00A06056" w:rsidRPr="00A06056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>Открытие соревнований  в 11.00 часов.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9F5D63" w:rsidRPr="00FE02A0" w:rsidRDefault="009F5D63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Соревнование состоит из двух турниров: Высшей и Первой лиги. В Высшей Лиге участвуют спортсмены, отобравшиеся из </w:t>
      </w:r>
      <w:r w:rsidR="00D56D42">
        <w:rPr>
          <w:color w:val="auto"/>
          <w:sz w:val="28"/>
          <w:szCs w:val="28"/>
        </w:rPr>
        <w:t>Финала</w:t>
      </w:r>
      <w:r w:rsidR="0080345C">
        <w:rPr>
          <w:color w:val="auto"/>
          <w:sz w:val="28"/>
          <w:szCs w:val="28"/>
        </w:rPr>
        <w:t xml:space="preserve"> </w:t>
      </w:r>
      <w:r w:rsidR="0080345C" w:rsidRPr="0080345C">
        <w:rPr>
          <w:color w:val="auto"/>
          <w:sz w:val="28"/>
          <w:szCs w:val="28"/>
        </w:rPr>
        <w:t xml:space="preserve">Открытого </w:t>
      </w:r>
      <w:r w:rsidR="0080345C" w:rsidRPr="0080345C">
        <w:rPr>
          <w:color w:val="auto"/>
          <w:sz w:val="28"/>
          <w:szCs w:val="28"/>
        </w:rPr>
        <w:lastRenderedPageBreak/>
        <w:t xml:space="preserve">Кубка Ярославской области по быстрым шахматам </w:t>
      </w:r>
      <w:r w:rsidR="0080345C">
        <w:rPr>
          <w:color w:val="auto"/>
          <w:sz w:val="28"/>
          <w:szCs w:val="28"/>
        </w:rPr>
        <w:t xml:space="preserve">2018 </w:t>
      </w:r>
      <w:r w:rsidR="00930E3B">
        <w:rPr>
          <w:color w:val="auto"/>
          <w:sz w:val="28"/>
          <w:szCs w:val="28"/>
        </w:rPr>
        <w:t>года</w:t>
      </w:r>
      <w:r w:rsidRPr="00FE02A0">
        <w:rPr>
          <w:color w:val="auto"/>
          <w:sz w:val="28"/>
          <w:szCs w:val="28"/>
        </w:rPr>
        <w:t xml:space="preserve"> и спортсмены, допущенные по решению Правления  РОО ««Спортивная федерация шахмат Ярославской области».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 Высшей Лиг</w:t>
      </w:r>
      <w:r>
        <w:rPr>
          <w:color w:val="auto"/>
          <w:sz w:val="28"/>
          <w:szCs w:val="28"/>
        </w:rPr>
        <w:t xml:space="preserve">и – </w:t>
      </w:r>
      <w:r w:rsidR="0080345C">
        <w:rPr>
          <w:color w:val="auto"/>
          <w:sz w:val="28"/>
          <w:szCs w:val="28"/>
        </w:rPr>
        <w:t>круговая 9 туров</w:t>
      </w:r>
      <w:r w:rsidRPr="00FE02A0">
        <w:rPr>
          <w:color w:val="auto"/>
          <w:sz w:val="28"/>
          <w:szCs w:val="28"/>
        </w:rPr>
        <w:t>.</w:t>
      </w:r>
      <w:r w:rsidR="0080345C">
        <w:rPr>
          <w:color w:val="auto"/>
          <w:sz w:val="28"/>
          <w:szCs w:val="28"/>
        </w:rPr>
        <w:t xml:space="preserve">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результат личной встречи;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- коэффициент Бергера;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- количество побед;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 xml:space="preserve">- количество партий черными (кто больше играл черными – тот выше); </w:t>
      </w:r>
    </w:p>
    <w:p w:rsidR="009F5D63" w:rsidRPr="00FE02A0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- преимущество черного цвета в личной партии.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Участники, занявшие 1-</w:t>
      </w:r>
      <w:r w:rsidR="00D56D42">
        <w:rPr>
          <w:color w:val="auto"/>
          <w:sz w:val="28"/>
          <w:szCs w:val="28"/>
        </w:rPr>
        <w:t>7</w:t>
      </w:r>
      <w:r w:rsidRPr="00FE02A0">
        <w:rPr>
          <w:color w:val="auto"/>
          <w:sz w:val="28"/>
          <w:szCs w:val="28"/>
        </w:rPr>
        <w:t xml:space="preserve"> места</w:t>
      </w:r>
      <w:r w:rsidR="00930E3B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</w:t>
      </w:r>
      <w:r w:rsidR="00D56D42">
        <w:rPr>
          <w:color w:val="auto"/>
          <w:sz w:val="28"/>
          <w:szCs w:val="28"/>
        </w:rPr>
        <w:t>2</w:t>
      </w:r>
      <w:r w:rsidRPr="00FE02A0">
        <w:rPr>
          <w:color w:val="auto"/>
          <w:sz w:val="28"/>
          <w:szCs w:val="28"/>
        </w:rPr>
        <w:t xml:space="preserve"> этапа Открытог</w:t>
      </w:r>
      <w:r>
        <w:rPr>
          <w:color w:val="auto"/>
          <w:sz w:val="28"/>
          <w:szCs w:val="28"/>
        </w:rPr>
        <w:t>о Кубка Ярославской области 201</w:t>
      </w:r>
      <w:r w:rsidR="00D56D42">
        <w:rPr>
          <w:color w:val="auto"/>
          <w:sz w:val="28"/>
          <w:szCs w:val="28"/>
        </w:rPr>
        <w:t>9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Первой Лиги -  швейцарская 7 туров.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коэффициент Бухгольца;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усеченный коэффициент Бухгольца (без одного худшего результата, без двух);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усредненный коэффициент Бухгольца;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    Участник, занявший 1 место</w:t>
      </w:r>
      <w:r w:rsidR="00930E3B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</w:t>
      </w:r>
      <w:r w:rsidR="00D56D42">
        <w:rPr>
          <w:color w:val="auto"/>
          <w:sz w:val="28"/>
          <w:szCs w:val="28"/>
        </w:rPr>
        <w:t>2</w:t>
      </w:r>
      <w:r w:rsidRPr="00FE02A0">
        <w:rPr>
          <w:color w:val="auto"/>
          <w:sz w:val="28"/>
          <w:szCs w:val="28"/>
        </w:rPr>
        <w:t xml:space="preserve"> этапа Открытог</w:t>
      </w:r>
      <w:r>
        <w:rPr>
          <w:color w:val="auto"/>
          <w:sz w:val="28"/>
          <w:szCs w:val="28"/>
        </w:rPr>
        <w:t>о Кубка Ярославской области 201</w:t>
      </w:r>
      <w:r w:rsidR="00D56D42">
        <w:rPr>
          <w:color w:val="auto"/>
          <w:sz w:val="28"/>
          <w:szCs w:val="28"/>
        </w:rPr>
        <w:t>9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9F5D63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  <w:r w:rsidRPr="00780698">
        <w:rPr>
          <w:color w:val="auto"/>
          <w:sz w:val="28"/>
          <w:szCs w:val="28"/>
        </w:rPr>
        <w:tab/>
      </w:r>
    </w:p>
    <w:p w:rsidR="001F04DE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D56D42">
        <w:rPr>
          <w:color w:val="auto"/>
          <w:sz w:val="28"/>
          <w:szCs w:val="28"/>
        </w:rPr>
        <w:t>23</w:t>
      </w:r>
      <w:r w:rsidR="0069205A">
        <w:rPr>
          <w:color w:val="auto"/>
          <w:sz w:val="28"/>
          <w:szCs w:val="28"/>
        </w:rPr>
        <w:t xml:space="preserve"> </w:t>
      </w:r>
      <w:r w:rsidR="00D56D42">
        <w:rPr>
          <w:color w:val="auto"/>
          <w:sz w:val="28"/>
          <w:szCs w:val="28"/>
        </w:rPr>
        <w:t>февраля</w:t>
      </w:r>
      <w:r w:rsidRPr="009D5BD6">
        <w:rPr>
          <w:color w:val="auto"/>
          <w:sz w:val="28"/>
          <w:szCs w:val="28"/>
        </w:rPr>
        <w:t xml:space="preserve"> 201</w:t>
      </w:r>
      <w:r w:rsidR="00D56D42">
        <w:rPr>
          <w:color w:val="auto"/>
          <w:sz w:val="28"/>
          <w:szCs w:val="28"/>
        </w:rPr>
        <w:t>9</w:t>
      </w:r>
      <w:r w:rsidR="00B05D87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</w:t>
      </w:r>
      <w:r w:rsidRPr="00D62D16">
        <w:rPr>
          <w:b/>
          <w:color w:val="auto"/>
          <w:sz w:val="28"/>
          <w:szCs w:val="28"/>
        </w:rPr>
        <w:t>в электронном виде</w:t>
      </w:r>
      <w:r w:rsidRPr="009D5BD6">
        <w:rPr>
          <w:color w:val="auto"/>
          <w:sz w:val="28"/>
          <w:szCs w:val="28"/>
        </w:rPr>
        <w:t xml:space="preserve"> по Е-mail: </w:t>
      </w:r>
      <w:r w:rsidRPr="00D62D16">
        <w:rPr>
          <w:b/>
          <w:color w:val="auto"/>
          <w:sz w:val="28"/>
          <w:szCs w:val="28"/>
          <w:u w:val="single"/>
        </w:rPr>
        <w:t>yarchessarbiter@ya.ru</w:t>
      </w:r>
      <w:r w:rsidRPr="009D5BD6">
        <w:rPr>
          <w:color w:val="auto"/>
          <w:sz w:val="28"/>
          <w:szCs w:val="28"/>
        </w:rPr>
        <w:t xml:space="preserve"> или </w:t>
      </w:r>
      <w:r w:rsidRPr="00D62D16">
        <w:rPr>
          <w:b/>
          <w:color w:val="auto"/>
          <w:sz w:val="28"/>
          <w:szCs w:val="28"/>
        </w:rPr>
        <w:t>лично</w:t>
      </w:r>
      <w:r w:rsidRPr="009D5BD6">
        <w:rPr>
          <w:color w:val="auto"/>
          <w:sz w:val="28"/>
          <w:szCs w:val="28"/>
        </w:rPr>
        <w:t xml:space="preserve"> по адресу проспект Ленина д.24а, МАУ ДК им. А.М. Добрынина </w:t>
      </w:r>
      <w:r w:rsidRPr="00D62D16">
        <w:rPr>
          <w:b/>
          <w:color w:val="auto"/>
          <w:sz w:val="28"/>
          <w:szCs w:val="28"/>
        </w:rPr>
        <w:t>Бекбулатову Нурбеку Мусовичу</w:t>
      </w:r>
      <w:r w:rsidRPr="009D5BD6">
        <w:rPr>
          <w:color w:val="auto"/>
          <w:sz w:val="28"/>
          <w:szCs w:val="28"/>
        </w:rPr>
        <w:t xml:space="preserve">,  в противном случае участие в турнире не гарантируется. </w:t>
      </w: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Иногородние участники, которым требуется размещение, должны подать заявку не позднее </w:t>
      </w:r>
      <w:r w:rsidR="00D56D42">
        <w:rPr>
          <w:color w:val="auto"/>
          <w:sz w:val="28"/>
          <w:szCs w:val="28"/>
        </w:rPr>
        <w:t>20</w:t>
      </w:r>
      <w:r w:rsidR="0069205A">
        <w:rPr>
          <w:color w:val="auto"/>
          <w:sz w:val="28"/>
          <w:szCs w:val="28"/>
        </w:rPr>
        <w:t xml:space="preserve"> </w:t>
      </w:r>
      <w:r w:rsidR="00D56D42">
        <w:rPr>
          <w:color w:val="auto"/>
          <w:sz w:val="28"/>
          <w:szCs w:val="28"/>
        </w:rPr>
        <w:t>февраля</w:t>
      </w:r>
      <w:r w:rsidRPr="009D5BD6">
        <w:rPr>
          <w:color w:val="auto"/>
          <w:sz w:val="28"/>
          <w:szCs w:val="28"/>
        </w:rPr>
        <w:t xml:space="preserve"> 201</w:t>
      </w:r>
      <w:r w:rsidR="00D56D42">
        <w:rPr>
          <w:color w:val="auto"/>
          <w:sz w:val="28"/>
          <w:szCs w:val="28"/>
        </w:rPr>
        <w:t>9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противном случае размещение не гарантируется. 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lastRenderedPageBreak/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930E3B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определяются по количеству набранных очков, в случае равенства по дополнительным показателям, предусмотренным для данного турнира. </w:t>
      </w:r>
      <w:r w:rsidRPr="009D5BD6">
        <w:rPr>
          <w:color w:val="auto"/>
          <w:sz w:val="28"/>
          <w:szCs w:val="28"/>
        </w:rPr>
        <w:t>Возможно изменение системы проведения в зависимости от числа участников. Опоздание на партию допустимо не более чем на 10 минут.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930E3B" w:rsidRPr="00F656B7">
        <w:rPr>
          <w:b/>
          <w:color w:val="auto"/>
          <w:sz w:val="28"/>
          <w:szCs w:val="28"/>
        </w:rPr>
        <w:t>НАГРАЖДЕНИЕ</w:t>
      </w:r>
      <w:r w:rsidR="00930E3B">
        <w:rPr>
          <w:b/>
          <w:color w:val="auto"/>
          <w:sz w:val="28"/>
          <w:szCs w:val="28"/>
        </w:rPr>
        <w:t xml:space="preserve"> ПОБЕДИТЕЛЕЙ И ПРИЗЁРОВ</w:t>
      </w:r>
    </w:p>
    <w:p w:rsidR="00930E3B" w:rsidRDefault="00930E3B" w:rsidP="00D56D42">
      <w:pPr>
        <w:pStyle w:val="Default"/>
        <w:jc w:val="both"/>
        <w:rPr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t xml:space="preserve">Возможно учреждение </w:t>
      </w:r>
      <w:r w:rsidR="00D56D42">
        <w:rPr>
          <w:color w:val="auto"/>
          <w:sz w:val="28"/>
          <w:szCs w:val="28"/>
        </w:rPr>
        <w:t xml:space="preserve">призов в основном зачете, </w:t>
      </w:r>
      <w:r w:rsidRPr="00752254">
        <w:rPr>
          <w:color w:val="auto"/>
          <w:sz w:val="28"/>
          <w:szCs w:val="28"/>
        </w:rPr>
        <w:t>женски</w:t>
      </w:r>
      <w:r w:rsidR="00D56D42">
        <w:rPr>
          <w:color w:val="auto"/>
          <w:sz w:val="28"/>
          <w:szCs w:val="28"/>
        </w:rPr>
        <w:t>х, ветеранских и детских призов.</w:t>
      </w:r>
      <w:r w:rsidRPr="00752254">
        <w:rPr>
          <w:color w:val="auto"/>
          <w:sz w:val="28"/>
          <w:szCs w:val="28"/>
        </w:rPr>
        <w:t xml:space="preserve"> </w:t>
      </w:r>
      <w:r w:rsidR="00D56D42">
        <w:rPr>
          <w:color w:val="auto"/>
          <w:sz w:val="28"/>
          <w:szCs w:val="28"/>
        </w:rPr>
        <w:t>В</w:t>
      </w:r>
      <w:r w:rsidRPr="00752254">
        <w:rPr>
          <w:color w:val="auto"/>
          <w:sz w:val="28"/>
          <w:szCs w:val="28"/>
        </w:rPr>
        <w:t xml:space="preserve">етераны, женщины и дети могут занимать места в </w:t>
      </w:r>
      <w:r w:rsidR="00D56D42">
        <w:rPr>
          <w:color w:val="auto"/>
          <w:sz w:val="28"/>
          <w:szCs w:val="28"/>
        </w:rPr>
        <w:t>основном</w:t>
      </w:r>
      <w:r w:rsidRPr="00752254">
        <w:rPr>
          <w:color w:val="auto"/>
          <w:sz w:val="28"/>
          <w:szCs w:val="28"/>
        </w:rPr>
        <w:t xml:space="preserve"> зачете, участник может получить только один приз</w:t>
      </w:r>
      <w:r>
        <w:rPr>
          <w:color w:val="auto"/>
          <w:sz w:val="28"/>
          <w:szCs w:val="28"/>
        </w:rPr>
        <w:t xml:space="preserve"> - наибольший</w:t>
      </w:r>
      <w:r w:rsidRPr="00752254">
        <w:rPr>
          <w:color w:val="auto"/>
          <w:sz w:val="28"/>
          <w:szCs w:val="28"/>
        </w:rPr>
        <w:t>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30E3B" w:rsidRDefault="00930E3B" w:rsidP="00930E3B">
      <w:pPr>
        <w:pStyle w:val="Default"/>
        <w:rPr>
          <w:b/>
          <w:bCs/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1AA7">
        <w:rPr>
          <w:color w:val="auto"/>
          <w:sz w:val="28"/>
          <w:szCs w:val="28"/>
        </w:rPr>
        <w:t>Расходы по организации и проведению соревнований</w:t>
      </w:r>
      <w:r w:rsidR="00DD4C3C">
        <w:rPr>
          <w:color w:val="auto"/>
          <w:sz w:val="28"/>
          <w:szCs w:val="28"/>
        </w:rPr>
        <w:t xml:space="preserve"> </w:t>
      </w:r>
      <w:r w:rsidR="009812BD">
        <w:rPr>
          <w:color w:val="auto"/>
          <w:sz w:val="28"/>
          <w:szCs w:val="28"/>
        </w:rPr>
        <w:t>(оплата работы судей и обслуживающего персонала, награждение грамотами и медалями, оплата услуг по предоставлению помещения)</w:t>
      </w:r>
      <w:r w:rsidRPr="00F41AA7">
        <w:rPr>
          <w:color w:val="auto"/>
          <w:sz w:val="28"/>
          <w:szCs w:val="28"/>
        </w:rPr>
        <w:t xml:space="preserve"> - за счет </w:t>
      </w:r>
      <w:r w:rsidR="00D56D42" w:rsidRPr="00D56D42">
        <w:rPr>
          <w:color w:val="auto"/>
          <w:sz w:val="28"/>
          <w:szCs w:val="28"/>
        </w:rPr>
        <w:t>за счет привлеченных средств</w:t>
      </w:r>
      <w:r w:rsidRPr="00F41AA7">
        <w:rPr>
          <w:color w:val="auto"/>
          <w:sz w:val="28"/>
          <w:szCs w:val="28"/>
        </w:rPr>
        <w:t>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30E3B" w:rsidRPr="00FE02A0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составляет </w:t>
      </w:r>
      <w:r w:rsidR="00410ABD">
        <w:rPr>
          <w:color w:val="auto"/>
          <w:sz w:val="28"/>
          <w:szCs w:val="28"/>
        </w:rPr>
        <w:t>2</w:t>
      </w:r>
      <w:r w:rsidRPr="00FE02A0">
        <w:rPr>
          <w:color w:val="auto"/>
          <w:sz w:val="28"/>
          <w:szCs w:val="28"/>
        </w:rPr>
        <w:t>00</w:t>
      </w:r>
      <w:r w:rsidR="000E177E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руб. Для участников, членов РОО «Спортивная федерация шахмат Ярославской области», уплативших членские взносы, </w:t>
      </w:r>
      <w:r w:rsidR="000E177E">
        <w:rPr>
          <w:color w:val="auto"/>
          <w:sz w:val="28"/>
          <w:szCs w:val="28"/>
        </w:rPr>
        <w:t>стартовый взнос составляет 100 руб.</w:t>
      </w:r>
      <w:r w:rsidRPr="00FE02A0">
        <w:rPr>
          <w:color w:val="auto"/>
          <w:sz w:val="28"/>
          <w:szCs w:val="28"/>
        </w:rPr>
        <w:t xml:space="preserve"> </w:t>
      </w:r>
      <w:r w:rsidR="000E177E">
        <w:rPr>
          <w:color w:val="auto"/>
          <w:sz w:val="28"/>
          <w:szCs w:val="28"/>
        </w:rPr>
        <w:t>Участники, члены РОО «Спортивная федерация шахмат Ярославской области», уплативши</w:t>
      </w:r>
      <w:r w:rsidR="0041002A">
        <w:rPr>
          <w:color w:val="auto"/>
          <w:sz w:val="28"/>
          <w:szCs w:val="28"/>
        </w:rPr>
        <w:t>е членские взносы за 201</w:t>
      </w:r>
      <w:r w:rsidR="00D56D42">
        <w:rPr>
          <w:color w:val="auto"/>
          <w:sz w:val="28"/>
          <w:szCs w:val="28"/>
        </w:rPr>
        <w:t>9</w:t>
      </w:r>
      <w:r w:rsidR="0041002A">
        <w:rPr>
          <w:color w:val="auto"/>
          <w:sz w:val="28"/>
          <w:szCs w:val="28"/>
        </w:rPr>
        <w:t xml:space="preserve"> год, </w:t>
      </w:r>
      <w:r w:rsidR="000E177E">
        <w:rPr>
          <w:color w:val="auto"/>
          <w:sz w:val="28"/>
          <w:szCs w:val="28"/>
        </w:rPr>
        <w:t>старше 195</w:t>
      </w:r>
      <w:r w:rsidR="00D56D42">
        <w:rPr>
          <w:color w:val="auto"/>
          <w:sz w:val="28"/>
          <w:szCs w:val="28"/>
        </w:rPr>
        <w:t>8</w:t>
      </w:r>
      <w:r w:rsidR="000E177E">
        <w:rPr>
          <w:color w:val="auto"/>
          <w:sz w:val="28"/>
          <w:szCs w:val="28"/>
        </w:rPr>
        <w:t xml:space="preserve"> года, не претендующие на денежные призы, допускаются без взноса. </w:t>
      </w:r>
      <w:r w:rsidRPr="00FE02A0">
        <w:rPr>
          <w:color w:val="auto"/>
          <w:sz w:val="28"/>
          <w:szCs w:val="28"/>
        </w:rPr>
        <w:t xml:space="preserve">Не менее  </w:t>
      </w:r>
      <w:r w:rsidR="00D56D42">
        <w:rPr>
          <w:color w:val="auto"/>
          <w:sz w:val="28"/>
          <w:szCs w:val="28"/>
        </w:rPr>
        <w:t>5</w:t>
      </w:r>
      <w:r w:rsidRPr="00FE02A0">
        <w:rPr>
          <w:color w:val="auto"/>
          <w:sz w:val="28"/>
          <w:szCs w:val="28"/>
        </w:rPr>
        <w:t>0% средств направляются на призы, остальные средств</w:t>
      </w:r>
      <w:r w:rsidR="00D56D42">
        <w:rPr>
          <w:color w:val="auto"/>
          <w:sz w:val="28"/>
          <w:szCs w:val="28"/>
        </w:rPr>
        <w:t>а</w:t>
      </w:r>
      <w:r w:rsidRPr="00FE02A0">
        <w:rPr>
          <w:color w:val="auto"/>
          <w:sz w:val="28"/>
          <w:szCs w:val="28"/>
        </w:rPr>
        <w:t xml:space="preserve"> </w:t>
      </w:r>
      <w:r w:rsidR="00D56D42">
        <w:rPr>
          <w:color w:val="auto"/>
          <w:sz w:val="28"/>
          <w:szCs w:val="28"/>
        </w:rPr>
        <w:t xml:space="preserve">направляются на проведение турнира и </w:t>
      </w:r>
      <w:r w:rsidRPr="00FE02A0">
        <w:rPr>
          <w:color w:val="auto"/>
          <w:sz w:val="28"/>
          <w:szCs w:val="28"/>
        </w:rPr>
        <w:t xml:space="preserve">на уставную деятельность РОО ««Спортивная федерация шахмат Ярославской области».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лично при регистрации</w:t>
      </w:r>
      <w:r w:rsidRPr="00A216C7">
        <w:rPr>
          <w:color w:val="auto"/>
          <w:sz w:val="28"/>
          <w:szCs w:val="28"/>
        </w:rPr>
        <w:t xml:space="preserve"> по реквизитам: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</w:t>
      </w:r>
      <w:r w:rsidR="00B44355">
        <w:rPr>
          <w:color w:val="auto"/>
          <w:sz w:val="28"/>
          <w:szCs w:val="28"/>
        </w:rPr>
        <w:t xml:space="preserve">сти», 150014, г. Ярославль, ул. </w:t>
      </w:r>
      <w:r w:rsidRPr="00A216C7">
        <w:rPr>
          <w:color w:val="auto"/>
          <w:sz w:val="28"/>
          <w:szCs w:val="28"/>
        </w:rPr>
        <w:t>Угличская, дом 1/51 ОГРН 1137600001769, ИНН 7604202370, КПП 760401001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930E3B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  <w:r w:rsidRPr="00D62D16">
        <w:rPr>
          <w:b/>
        </w:rPr>
        <w:t>Настоящее положение является официальным вызовом на соревнование.</w:t>
      </w:r>
    </w:p>
    <w:sectPr w:rsidR="00D62D16" w:rsidRPr="00D62D16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67" w:rsidRDefault="00343567">
      <w:r>
        <w:separator/>
      </w:r>
    </w:p>
  </w:endnote>
  <w:endnote w:type="continuationSeparator" w:id="0">
    <w:p w:rsidR="00343567" w:rsidRDefault="003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67" w:rsidRDefault="00343567">
      <w:r>
        <w:separator/>
      </w:r>
    </w:p>
  </w:footnote>
  <w:footnote w:type="continuationSeparator" w:id="0">
    <w:p w:rsidR="00343567" w:rsidRDefault="0034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342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0A9D"/>
    <w:rsid w:val="000527F3"/>
    <w:rsid w:val="00056D00"/>
    <w:rsid w:val="00062A7D"/>
    <w:rsid w:val="00087696"/>
    <w:rsid w:val="00091C10"/>
    <w:rsid w:val="000C014D"/>
    <w:rsid w:val="000C74B0"/>
    <w:rsid w:val="000E177E"/>
    <w:rsid w:val="000E546D"/>
    <w:rsid w:val="000E5FA1"/>
    <w:rsid w:val="000E60DF"/>
    <w:rsid w:val="00104218"/>
    <w:rsid w:val="00104CE3"/>
    <w:rsid w:val="0012323E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91362"/>
    <w:rsid w:val="0019342A"/>
    <w:rsid w:val="00193E79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1B2A"/>
    <w:rsid w:val="002B39E4"/>
    <w:rsid w:val="002C0151"/>
    <w:rsid w:val="002C0C98"/>
    <w:rsid w:val="002C3299"/>
    <w:rsid w:val="002D180F"/>
    <w:rsid w:val="002E6F48"/>
    <w:rsid w:val="002F3F60"/>
    <w:rsid w:val="00310065"/>
    <w:rsid w:val="00311FAD"/>
    <w:rsid w:val="003151DC"/>
    <w:rsid w:val="00315A19"/>
    <w:rsid w:val="0032340E"/>
    <w:rsid w:val="00330925"/>
    <w:rsid w:val="00333300"/>
    <w:rsid w:val="00336360"/>
    <w:rsid w:val="00337CDF"/>
    <w:rsid w:val="00340242"/>
    <w:rsid w:val="00343567"/>
    <w:rsid w:val="00343B18"/>
    <w:rsid w:val="00365A93"/>
    <w:rsid w:val="00366EC6"/>
    <w:rsid w:val="00377A9A"/>
    <w:rsid w:val="00382972"/>
    <w:rsid w:val="003922EF"/>
    <w:rsid w:val="003B4C7A"/>
    <w:rsid w:val="003C1C24"/>
    <w:rsid w:val="003C479F"/>
    <w:rsid w:val="003D0DDC"/>
    <w:rsid w:val="003D690A"/>
    <w:rsid w:val="003D74C2"/>
    <w:rsid w:val="003E224C"/>
    <w:rsid w:val="003E5138"/>
    <w:rsid w:val="003E6B44"/>
    <w:rsid w:val="003F5B00"/>
    <w:rsid w:val="00405EC2"/>
    <w:rsid w:val="0041002A"/>
    <w:rsid w:val="00410ABD"/>
    <w:rsid w:val="00442842"/>
    <w:rsid w:val="00443EA3"/>
    <w:rsid w:val="00445E99"/>
    <w:rsid w:val="00451D64"/>
    <w:rsid w:val="00475717"/>
    <w:rsid w:val="004774D6"/>
    <w:rsid w:val="00484180"/>
    <w:rsid w:val="00495B84"/>
    <w:rsid w:val="004A1A27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128D"/>
    <w:rsid w:val="00565C2D"/>
    <w:rsid w:val="00570B04"/>
    <w:rsid w:val="00575D48"/>
    <w:rsid w:val="00581162"/>
    <w:rsid w:val="005C01FA"/>
    <w:rsid w:val="005C68F6"/>
    <w:rsid w:val="005D6002"/>
    <w:rsid w:val="005F0013"/>
    <w:rsid w:val="005F708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9205A"/>
    <w:rsid w:val="006A0198"/>
    <w:rsid w:val="006A0358"/>
    <w:rsid w:val="006A6120"/>
    <w:rsid w:val="006B2900"/>
    <w:rsid w:val="006B4885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7018"/>
    <w:rsid w:val="007A0535"/>
    <w:rsid w:val="007A7442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0345C"/>
    <w:rsid w:val="00830F7B"/>
    <w:rsid w:val="0084344F"/>
    <w:rsid w:val="008510F9"/>
    <w:rsid w:val="008666F2"/>
    <w:rsid w:val="008704B5"/>
    <w:rsid w:val="00875244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30E3B"/>
    <w:rsid w:val="0095392B"/>
    <w:rsid w:val="009734CC"/>
    <w:rsid w:val="009812BD"/>
    <w:rsid w:val="00997BC0"/>
    <w:rsid w:val="009A7ECA"/>
    <w:rsid w:val="009B14E2"/>
    <w:rsid w:val="009C6FE9"/>
    <w:rsid w:val="009D5BD6"/>
    <w:rsid w:val="009E5A5B"/>
    <w:rsid w:val="009F02F3"/>
    <w:rsid w:val="009F5D6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54932"/>
    <w:rsid w:val="00A60F0E"/>
    <w:rsid w:val="00A90EE7"/>
    <w:rsid w:val="00A93915"/>
    <w:rsid w:val="00A95361"/>
    <w:rsid w:val="00AA543C"/>
    <w:rsid w:val="00AB3ECB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415F8"/>
    <w:rsid w:val="00B44355"/>
    <w:rsid w:val="00B5409A"/>
    <w:rsid w:val="00B54FE7"/>
    <w:rsid w:val="00B608E9"/>
    <w:rsid w:val="00B63FB0"/>
    <w:rsid w:val="00B7069B"/>
    <w:rsid w:val="00BA2BB3"/>
    <w:rsid w:val="00BA6EB9"/>
    <w:rsid w:val="00BC3AF8"/>
    <w:rsid w:val="00BC6216"/>
    <w:rsid w:val="00BE3D46"/>
    <w:rsid w:val="00BF5585"/>
    <w:rsid w:val="00C107A3"/>
    <w:rsid w:val="00C30B5E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3869"/>
    <w:rsid w:val="00D24A25"/>
    <w:rsid w:val="00D25FE1"/>
    <w:rsid w:val="00D264B5"/>
    <w:rsid w:val="00D53251"/>
    <w:rsid w:val="00D56D42"/>
    <w:rsid w:val="00D60BF7"/>
    <w:rsid w:val="00D62D16"/>
    <w:rsid w:val="00D653BF"/>
    <w:rsid w:val="00D67451"/>
    <w:rsid w:val="00D84556"/>
    <w:rsid w:val="00D8580D"/>
    <w:rsid w:val="00D94512"/>
    <w:rsid w:val="00D9463D"/>
    <w:rsid w:val="00DA25B8"/>
    <w:rsid w:val="00DB4AE4"/>
    <w:rsid w:val="00DC1A4A"/>
    <w:rsid w:val="00DC3B3B"/>
    <w:rsid w:val="00DD4C3C"/>
    <w:rsid w:val="00DD5E76"/>
    <w:rsid w:val="00DF3338"/>
    <w:rsid w:val="00E14122"/>
    <w:rsid w:val="00E23D6B"/>
    <w:rsid w:val="00E44130"/>
    <w:rsid w:val="00E55BAF"/>
    <w:rsid w:val="00E7377D"/>
    <w:rsid w:val="00EC72EF"/>
    <w:rsid w:val="00ED0088"/>
    <w:rsid w:val="00ED36BD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52379"/>
    <w:rsid w:val="00F61547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774FF"/>
  <w15:docId w15:val="{EA647DF8-72A5-45A3-921A-7CC3B39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10">
    <w:name w:val="Название1"/>
    <w:basedOn w:val="a"/>
    <w:qFormat/>
    <w:rsid w:val="00541998"/>
    <w:pPr>
      <w:jc w:val="center"/>
    </w:pPr>
    <w:rPr>
      <w:b/>
      <w:i/>
      <w:sz w:val="24"/>
    </w:rPr>
  </w:style>
  <w:style w:type="character" w:styleId="a8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08E9"/>
    <w:rPr>
      <w:rFonts w:ascii="Tahoma" w:hAnsi="Tahoma" w:cs="Tahoma"/>
      <w:sz w:val="16"/>
      <w:szCs w:val="16"/>
    </w:rPr>
  </w:style>
  <w:style w:type="character" w:styleId="ad">
    <w:name w:val="annotation reference"/>
    <w:rsid w:val="00B608E9"/>
    <w:rPr>
      <w:sz w:val="16"/>
      <w:szCs w:val="16"/>
    </w:rPr>
  </w:style>
  <w:style w:type="paragraph" w:styleId="ae">
    <w:name w:val="annotation text"/>
    <w:basedOn w:val="a"/>
    <w:link w:val="af"/>
    <w:rsid w:val="00B608E9"/>
    <w:rPr>
      <w:sz w:val="20"/>
    </w:rPr>
  </w:style>
  <w:style w:type="character" w:customStyle="1" w:styleId="af">
    <w:name w:val="Текст примечания Знак"/>
    <w:basedOn w:val="a0"/>
    <w:link w:val="ae"/>
    <w:rsid w:val="00B608E9"/>
  </w:style>
  <w:style w:type="paragraph" w:styleId="af0">
    <w:name w:val="annotation subject"/>
    <w:basedOn w:val="ae"/>
    <w:next w:val="ae"/>
    <w:link w:val="af1"/>
    <w:rsid w:val="00B608E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2">
    <w:name w:val="Table Grid"/>
    <w:basedOn w:val="a1"/>
    <w:rsid w:val="004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E0B8-F19F-4FDC-83B5-2161B17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4</cp:revision>
  <cp:lastPrinted>2017-01-11T10:59:00Z</cp:lastPrinted>
  <dcterms:created xsi:type="dcterms:W3CDTF">2019-02-04T08:31:00Z</dcterms:created>
  <dcterms:modified xsi:type="dcterms:W3CDTF">2019-02-04T08:59:00Z</dcterms:modified>
</cp:coreProperties>
</file>